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81F3" w14:textId="77777777" w:rsidR="003C0EF6" w:rsidRPr="00D24EDB" w:rsidRDefault="003C0EF6">
      <w:pPr>
        <w:rPr>
          <w:rFonts w:asciiTheme="majorHAnsi" w:eastAsia="Calibri" w:hAnsiTheme="majorHAnsi" w:cstheme="majorHAnsi"/>
          <w:sz w:val="24"/>
          <w:szCs w:val="24"/>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C0EF6" w:rsidRPr="00D24EDB" w14:paraId="6F2773E8" w14:textId="77777777">
        <w:trPr>
          <w:trHeight w:val="440"/>
        </w:trPr>
        <w:tc>
          <w:tcPr>
            <w:tcW w:w="9028" w:type="dxa"/>
            <w:gridSpan w:val="2"/>
            <w:shd w:val="clear" w:color="auto" w:fill="F3F3F3"/>
            <w:tcMar>
              <w:top w:w="100" w:type="dxa"/>
              <w:left w:w="100" w:type="dxa"/>
              <w:bottom w:w="100" w:type="dxa"/>
              <w:right w:w="100" w:type="dxa"/>
            </w:tcMar>
          </w:tcPr>
          <w:p w14:paraId="11651D73" w14:textId="3F3AB457" w:rsidR="003C0EF6" w:rsidRPr="00D24EDB" w:rsidRDefault="006A5242">
            <w:pPr>
              <w:widowControl w:val="0"/>
              <w:pBdr>
                <w:top w:val="nil"/>
                <w:left w:val="nil"/>
                <w:bottom w:val="nil"/>
                <w:right w:val="nil"/>
                <w:between w:val="nil"/>
              </w:pBdr>
              <w:spacing w:line="240" w:lineRule="auto"/>
              <w:jc w:val="center"/>
              <w:rPr>
                <w:rFonts w:asciiTheme="majorHAnsi" w:eastAsia="Calibri" w:hAnsiTheme="majorHAnsi" w:cstheme="majorHAnsi"/>
                <w:b/>
                <w:sz w:val="24"/>
                <w:szCs w:val="24"/>
              </w:rPr>
            </w:pPr>
            <w:r w:rsidRPr="00D24EDB">
              <w:rPr>
                <w:rFonts w:asciiTheme="majorHAnsi" w:eastAsia="Calibri" w:hAnsiTheme="majorHAnsi" w:cstheme="majorHAnsi"/>
                <w:b/>
                <w:sz w:val="24"/>
                <w:szCs w:val="24"/>
              </w:rPr>
              <w:t>International Froebel Society 10th Biennial Conference</w:t>
            </w:r>
          </w:p>
        </w:tc>
      </w:tr>
      <w:tr w:rsidR="003C0EF6" w:rsidRPr="00D24EDB" w14:paraId="422E311C" w14:textId="77777777">
        <w:tc>
          <w:tcPr>
            <w:tcW w:w="4514" w:type="dxa"/>
            <w:shd w:val="clear" w:color="auto" w:fill="auto"/>
            <w:tcMar>
              <w:top w:w="100" w:type="dxa"/>
              <w:left w:w="100" w:type="dxa"/>
              <w:bottom w:w="100" w:type="dxa"/>
              <w:right w:w="100" w:type="dxa"/>
            </w:tcMar>
          </w:tcPr>
          <w:p w14:paraId="57966EC9" w14:textId="77777777" w:rsidR="003C0EF6" w:rsidRPr="00D24EDB" w:rsidRDefault="006A5242">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D24EDB">
              <w:rPr>
                <w:rFonts w:asciiTheme="majorHAnsi" w:eastAsia="Calibri" w:hAnsiTheme="majorHAnsi" w:cstheme="majorHAnsi"/>
                <w:b/>
                <w:sz w:val="24"/>
                <w:szCs w:val="24"/>
              </w:rPr>
              <w:t>Presenters</w:t>
            </w:r>
          </w:p>
        </w:tc>
        <w:tc>
          <w:tcPr>
            <w:tcW w:w="4514" w:type="dxa"/>
            <w:shd w:val="clear" w:color="auto" w:fill="auto"/>
            <w:tcMar>
              <w:top w:w="100" w:type="dxa"/>
              <w:left w:w="100" w:type="dxa"/>
              <w:bottom w:w="100" w:type="dxa"/>
              <w:right w:w="100" w:type="dxa"/>
            </w:tcMar>
          </w:tcPr>
          <w:p w14:paraId="4124F740" w14:textId="4A255083" w:rsidR="003C0EF6" w:rsidRPr="00D24EDB" w:rsidRDefault="006A5242">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D24EDB">
              <w:rPr>
                <w:rFonts w:asciiTheme="majorHAnsi" w:eastAsia="Calibri" w:hAnsiTheme="majorHAnsi" w:cstheme="majorHAnsi"/>
                <w:sz w:val="24"/>
                <w:szCs w:val="24"/>
              </w:rPr>
              <w:t>Niamh Gallagher</w:t>
            </w:r>
          </w:p>
        </w:tc>
      </w:tr>
      <w:tr w:rsidR="003C0EF6" w:rsidRPr="00D24EDB" w14:paraId="7B740DA2" w14:textId="77777777">
        <w:tc>
          <w:tcPr>
            <w:tcW w:w="4514" w:type="dxa"/>
            <w:shd w:val="clear" w:color="auto" w:fill="EFEFEF"/>
            <w:tcMar>
              <w:top w:w="100" w:type="dxa"/>
              <w:left w:w="100" w:type="dxa"/>
              <w:bottom w:w="100" w:type="dxa"/>
              <w:right w:w="100" w:type="dxa"/>
            </w:tcMar>
          </w:tcPr>
          <w:p w14:paraId="011ED75E" w14:textId="77777777" w:rsidR="003C0EF6" w:rsidRPr="00D24EDB" w:rsidRDefault="006A5242">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D24EDB">
              <w:rPr>
                <w:rFonts w:asciiTheme="majorHAnsi" w:eastAsia="Calibri" w:hAnsiTheme="majorHAnsi" w:cstheme="majorHAnsi"/>
                <w:b/>
                <w:sz w:val="24"/>
                <w:szCs w:val="24"/>
              </w:rPr>
              <w:t xml:space="preserve">Corresponding Author </w:t>
            </w:r>
          </w:p>
        </w:tc>
        <w:tc>
          <w:tcPr>
            <w:tcW w:w="4514" w:type="dxa"/>
            <w:shd w:val="clear" w:color="auto" w:fill="EFEFEF"/>
            <w:tcMar>
              <w:top w:w="100" w:type="dxa"/>
              <w:left w:w="100" w:type="dxa"/>
              <w:bottom w:w="100" w:type="dxa"/>
              <w:right w:w="100" w:type="dxa"/>
            </w:tcMar>
          </w:tcPr>
          <w:p w14:paraId="1738DC9C" w14:textId="77777777" w:rsidR="003C0EF6" w:rsidRPr="00D24EDB" w:rsidRDefault="006A5242">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D24EDB">
              <w:rPr>
                <w:rFonts w:asciiTheme="majorHAnsi" w:eastAsia="Calibri" w:hAnsiTheme="majorHAnsi" w:cstheme="majorHAnsi"/>
                <w:sz w:val="24"/>
                <w:szCs w:val="24"/>
              </w:rPr>
              <w:t>Niamh Gallagher (gallagn8@gmail.com)</w:t>
            </w:r>
          </w:p>
        </w:tc>
      </w:tr>
      <w:tr w:rsidR="003C0EF6" w:rsidRPr="00D24EDB" w14:paraId="37C33EFE" w14:textId="77777777">
        <w:tc>
          <w:tcPr>
            <w:tcW w:w="4514" w:type="dxa"/>
            <w:shd w:val="clear" w:color="auto" w:fill="auto"/>
            <w:tcMar>
              <w:top w:w="100" w:type="dxa"/>
              <w:left w:w="100" w:type="dxa"/>
              <w:bottom w:w="100" w:type="dxa"/>
              <w:right w:w="100" w:type="dxa"/>
            </w:tcMar>
          </w:tcPr>
          <w:p w14:paraId="2E3BF7B3" w14:textId="77777777" w:rsidR="003C0EF6" w:rsidRPr="00D24EDB" w:rsidRDefault="006A5242">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D24EDB">
              <w:rPr>
                <w:rFonts w:asciiTheme="majorHAnsi" w:eastAsia="Calibri" w:hAnsiTheme="majorHAnsi" w:cstheme="majorHAnsi"/>
                <w:b/>
                <w:sz w:val="24"/>
                <w:szCs w:val="24"/>
              </w:rPr>
              <w:t>Category</w:t>
            </w:r>
          </w:p>
        </w:tc>
        <w:tc>
          <w:tcPr>
            <w:tcW w:w="4514" w:type="dxa"/>
            <w:shd w:val="clear" w:color="auto" w:fill="auto"/>
            <w:tcMar>
              <w:top w:w="100" w:type="dxa"/>
              <w:left w:w="100" w:type="dxa"/>
              <w:bottom w:w="100" w:type="dxa"/>
              <w:right w:w="100" w:type="dxa"/>
            </w:tcMar>
          </w:tcPr>
          <w:p w14:paraId="4D9A6937" w14:textId="77777777" w:rsidR="003C0EF6" w:rsidRPr="00D24EDB" w:rsidRDefault="006A5242">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D24EDB">
              <w:rPr>
                <w:rFonts w:asciiTheme="majorHAnsi" w:eastAsia="Calibri" w:hAnsiTheme="majorHAnsi" w:cstheme="majorHAnsi"/>
                <w:sz w:val="24"/>
                <w:szCs w:val="24"/>
              </w:rPr>
              <w:t xml:space="preserve">Presentation </w:t>
            </w:r>
          </w:p>
        </w:tc>
      </w:tr>
      <w:tr w:rsidR="003C0EF6" w:rsidRPr="00D24EDB" w14:paraId="3AAE5696" w14:textId="77777777">
        <w:trPr>
          <w:trHeight w:val="440"/>
        </w:trPr>
        <w:tc>
          <w:tcPr>
            <w:tcW w:w="9028" w:type="dxa"/>
            <w:gridSpan w:val="2"/>
            <w:shd w:val="clear" w:color="auto" w:fill="EFEFEF"/>
            <w:tcMar>
              <w:top w:w="100" w:type="dxa"/>
              <w:left w:w="100" w:type="dxa"/>
              <w:bottom w:w="100" w:type="dxa"/>
              <w:right w:w="100" w:type="dxa"/>
            </w:tcMar>
          </w:tcPr>
          <w:p w14:paraId="58547236" w14:textId="77777777" w:rsidR="003C0EF6" w:rsidRPr="00D24EDB" w:rsidRDefault="006A5242">
            <w:pPr>
              <w:widowControl w:val="0"/>
              <w:pBdr>
                <w:top w:val="nil"/>
                <w:left w:val="nil"/>
                <w:bottom w:val="nil"/>
                <w:right w:val="nil"/>
                <w:between w:val="nil"/>
              </w:pBdr>
              <w:spacing w:line="240" w:lineRule="auto"/>
              <w:jc w:val="center"/>
              <w:rPr>
                <w:rFonts w:asciiTheme="majorHAnsi" w:eastAsia="Calibri" w:hAnsiTheme="majorHAnsi" w:cstheme="majorHAnsi"/>
                <w:b/>
                <w:sz w:val="24"/>
                <w:szCs w:val="24"/>
              </w:rPr>
            </w:pPr>
            <w:r w:rsidRPr="00D24EDB">
              <w:rPr>
                <w:rFonts w:asciiTheme="majorHAnsi" w:eastAsia="Calibri" w:hAnsiTheme="majorHAnsi" w:cstheme="majorHAnsi"/>
                <w:b/>
                <w:sz w:val="24"/>
                <w:szCs w:val="24"/>
              </w:rPr>
              <w:t>Description</w:t>
            </w:r>
          </w:p>
        </w:tc>
      </w:tr>
      <w:tr w:rsidR="003C0EF6" w:rsidRPr="00D24EDB" w14:paraId="39F3A826" w14:textId="77777777">
        <w:trPr>
          <w:trHeight w:val="440"/>
        </w:trPr>
        <w:tc>
          <w:tcPr>
            <w:tcW w:w="9028" w:type="dxa"/>
            <w:gridSpan w:val="2"/>
            <w:shd w:val="clear" w:color="auto" w:fill="auto"/>
            <w:tcMar>
              <w:top w:w="100" w:type="dxa"/>
              <w:left w:w="100" w:type="dxa"/>
              <w:bottom w:w="100" w:type="dxa"/>
              <w:right w:w="100" w:type="dxa"/>
            </w:tcMar>
          </w:tcPr>
          <w:p w14:paraId="4D3C9195" w14:textId="50DAC751" w:rsidR="003C0EF6" w:rsidRPr="00D24EDB" w:rsidRDefault="006A5242">
            <w:pPr>
              <w:rPr>
                <w:rFonts w:asciiTheme="majorHAnsi" w:eastAsia="Calibri" w:hAnsiTheme="majorHAnsi" w:cstheme="majorHAnsi"/>
                <w:sz w:val="24"/>
                <w:szCs w:val="24"/>
              </w:rPr>
            </w:pPr>
            <w:r w:rsidRPr="00D24EDB">
              <w:rPr>
                <w:rFonts w:asciiTheme="majorHAnsi" w:eastAsia="Calibri" w:hAnsiTheme="majorHAnsi" w:cstheme="majorHAnsi"/>
                <w:sz w:val="24"/>
                <w:szCs w:val="24"/>
              </w:rPr>
              <w:t>This presentation details the findings of a self-study action research project, which support Froebel’s focus on child agency</w:t>
            </w:r>
            <w:r w:rsidR="00C93163">
              <w:rPr>
                <w:rFonts w:asciiTheme="majorHAnsi" w:eastAsia="Calibri" w:hAnsiTheme="majorHAnsi" w:cstheme="majorHAnsi"/>
                <w:sz w:val="24"/>
                <w:szCs w:val="24"/>
              </w:rPr>
              <w:t xml:space="preserve"> and e</w:t>
            </w:r>
            <w:r w:rsidRPr="00D24EDB">
              <w:rPr>
                <w:rFonts w:asciiTheme="majorHAnsi" w:eastAsia="Calibri" w:hAnsiTheme="majorHAnsi" w:cstheme="majorHAnsi"/>
                <w:sz w:val="24"/>
                <w:szCs w:val="24"/>
              </w:rPr>
              <w:t>ndors</w:t>
            </w:r>
            <w:r w:rsidR="00C93163">
              <w:rPr>
                <w:rFonts w:asciiTheme="majorHAnsi" w:eastAsia="Calibri" w:hAnsiTheme="majorHAnsi" w:cstheme="majorHAnsi"/>
                <w:sz w:val="24"/>
                <w:szCs w:val="24"/>
              </w:rPr>
              <w:t>e</w:t>
            </w:r>
            <w:r w:rsidRPr="00D24EDB">
              <w:rPr>
                <w:rFonts w:asciiTheme="majorHAnsi" w:eastAsia="Calibri" w:hAnsiTheme="majorHAnsi" w:cstheme="majorHAnsi"/>
                <w:sz w:val="24"/>
                <w:szCs w:val="24"/>
              </w:rPr>
              <w:t xml:space="preserve"> the notion that children learn best when they are respected as autonomous learners.     </w:t>
            </w:r>
          </w:p>
          <w:p w14:paraId="27A9D9D9" w14:textId="77777777" w:rsidR="003C0EF6" w:rsidRPr="00D24EDB" w:rsidRDefault="003C0EF6">
            <w:pPr>
              <w:rPr>
                <w:rFonts w:asciiTheme="majorHAnsi" w:eastAsia="Calibri" w:hAnsiTheme="majorHAnsi" w:cstheme="majorHAnsi"/>
                <w:sz w:val="24"/>
                <w:szCs w:val="24"/>
              </w:rPr>
            </w:pPr>
          </w:p>
          <w:p w14:paraId="3A170FB5" w14:textId="386A12B0" w:rsidR="003C0EF6" w:rsidRPr="00D24EDB" w:rsidRDefault="006A5242">
            <w:pPr>
              <w:rPr>
                <w:rFonts w:asciiTheme="majorHAnsi" w:eastAsia="Calibri" w:hAnsiTheme="majorHAnsi" w:cstheme="majorHAnsi"/>
                <w:sz w:val="24"/>
                <w:szCs w:val="24"/>
              </w:rPr>
            </w:pPr>
            <w:r w:rsidRPr="00D24EDB">
              <w:rPr>
                <w:rFonts w:asciiTheme="majorHAnsi" w:eastAsia="Calibri" w:hAnsiTheme="majorHAnsi" w:cstheme="majorHAnsi"/>
                <w:sz w:val="24"/>
                <w:szCs w:val="24"/>
              </w:rPr>
              <w:t xml:space="preserve">In the 2020-21 academic year, school closures and social distancing requirements had a profound impact on the way in which children learned and teachers taught. Through </w:t>
            </w:r>
            <w:r w:rsidR="00585994" w:rsidRPr="00D24EDB">
              <w:rPr>
                <w:rFonts w:asciiTheme="majorHAnsi" w:eastAsia="Calibri" w:hAnsiTheme="majorHAnsi" w:cstheme="majorHAnsi"/>
                <w:sz w:val="24"/>
                <w:szCs w:val="24"/>
              </w:rPr>
              <w:t>s</w:t>
            </w:r>
            <w:r w:rsidRPr="00D24EDB">
              <w:rPr>
                <w:rFonts w:asciiTheme="majorHAnsi" w:eastAsia="Calibri" w:hAnsiTheme="majorHAnsi" w:cstheme="majorHAnsi"/>
                <w:sz w:val="24"/>
                <w:szCs w:val="24"/>
              </w:rPr>
              <w:t>elf-study action research, I explored how I attempted to address the constraints of a new, restrictive learning environment with an intervention that used digital technologies to facilitate cooperative learning in my 6th class classroom.</w:t>
            </w:r>
          </w:p>
          <w:p w14:paraId="21C25D3C" w14:textId="77777777" w:rsidR="003C0EF6" w:rsidRPr="00D24EDB" w:rsidRDefault="003C0EF6">
            <w:pPr>
              <w:rPr>
                <w:rFonts w:asciiTheme="majorHAnsi" w:eastAsia="Calibri" w:hAnsiTheme="majorHAnsi" w:cstheme="majorHAnsi"/>
                <w:sz w:val="24"/>
                <w:szCs w:val="24"/>
              </w:rPr>
            </w:pPr>
          </w:p>
          <w:p w14:paraId="387F8F67" w14:textId="77777777" w:rsidR="003C0EF6" w:rsidRPr="00D24EDB" w:rsidRDefault="006A5242">
            <w:pPr>
              <w:rPr>
                <w:rFonts w:asciiTheme="majorHAnsi" w:eastAsia="Calibri" w:hAnsiTheme="majorHAnsi" w:cstheme="majorHAnsi"/>
                <w:sz w:val="24"/>
                <w:szCs w:val="24"/>
              </w:rPr>
            </w:pPr>
            <w:r w:rsidRPr="00D24EDB">
              <w:rPr>
                <w:rFonts w:asciiTheme="majorHAnsi" w:eastAsia="Calibri" w:hAnsiTheme="majorHAnsi" w:cstheme="majorHAnsi"/>
                <w:sz w:val="24"/>
                <w:szCs w:val="24"/>
              </w:rPr>
              <w:t>Qualitative data was gathered from the written and oral reflections of my students and a group of four critical friends, as well as from my own observations and reflective journal. An analysis of this data led me to conclude that digital technologies could be used to facilitate cooperative learning by supporting dialogue between group members and offering a sense of agency to students. The motivation that this could generate proved especially important in the context of online learning and the socially distant classroom. The negative emotions fuelled by the restrictions of the pandemic were not, however, always counterbalanced by the affordances of digital tools or by the open-ended nature of the task; and children's motivation often suffered due to a perceived lack of autonomy over various elements of the project. Without the right balance between structure and freedom, the children were stripped of sufficient opportunity to explore and imagine (Davies et al, 2013).</w:t>
            </w:r>
          </w:p>
          <w:p w14:paraId="10AD3CA3" w14:textId="77777777" w:rsidR="003C0EF6" w:rsidRPr="00D24EDB" w:rsidRDefault="003C0EF6">
            <w:pPr>
              <w:rPr>
                <w:rFonts w:asciiTheme="majorHAnsi" w:eastAsia="Calibri" w:hAnsiTheme="majorHAnsi" w:cstheme="majorHAnsi"/>
                <w:sz w:val="24"/>
                <w:szCs w:val="24"/>
              </w:rPr>
            </w:pPr>
          </w:p>
          <w:p w14:paraId="028683DA" w14:textId="77777777" w:rsidR="003C0EF6" w:rsidRPr="00D24EDB" w:rsidRDefault="006A5242">
            <w:pPr>
              <w:rPr>
                <w:rFonts w:asciiTheme="majorHAnsi" w:eastAsia="Calibri" w:hAnsiTheme="majorHAnsi" w:cstheme="majorHAnsi"/>
                <w:sz w:val="24"/>
                <w:szCs w:val="24"/>
              </w:rPr>
            </w:pPr>
            <w:r w:rsidRPr="00D24EDB">
              <w:rPr>
                <w:rFonts w:asciiTheme="majorHAnsi" w:eastAsia="Calibri" w:hAnsiTheme="majorHAnsi" w:cstheme="majorHAnsi"/>
                <w:sz w:val="24"/>
                <w:szCs w:val="24"/>
              </w:rPr>
              <w:t>These findings are examined through a Froebelian lens. His assertion that, without the freedom of play, a child is merely following a task prescribed for him by another and, as such, ‘does not reveal his own creativeness and inclination but another’s’ (Bruce, 2020: 39) is explored; and implications for playful learning in the senior classroom discussed.</w:t>
            </w:r>
          </w:p>
          <w:p w14:paraId="312FEB50" w14:textId="77777777" w:rsidR="00D24EDB" w:rsidRDefault="00D24EDB" w:rsidP="00D24EDB">
            <w:pPr>
              <w:rPr>
                <w:rFonts w:asciiTheme="majorHAnsi" w:eastAsia="Calibri" w:hAnsiTheme="majorHAnsi" w:cstheme="majorHAnsi"/>
                <w:sz w:val="24"/>
                <w:szCs w:val="24"/>
              </w:rPr>
            </w:pPr>
          </w:p>
          <w:p w14:paraId="34EFB848" w14:textId="161EA86C" w:rsidR="00D24EDB" w:rsidRPr="00D24EDB" w:rsidRDefault="00D24EDB" w:rsidP="00D24EDB">
            <w:pPr>
              <w:jc w:val="center"/>
              <w:rPr>
                <w:rFonts w:asciiTheme="majorHAnsi" w:eastAsia="Calibri" w:hAnsiTheme="majorHAnsi" w:cstheme="majorHAnsi"/>
                <w:sz w:val="24"/>
                <w:szCs w:val="24"/>
                <w:u w:val="single"/>
              </w:rPr>
            </w:pPr>
            <w:r w:rsidRPr="00D24EDB">
              <w:rPr>
                <w:rFonts w:asciiTheme="majorHAnsi" w:eastAsia="Calibri" w:hAnsiTheme="majorHAnsi" w:cstheme="majorHAnsi"/>
                <w:sz w:val="24"/>
                <w:szCs w:val="24"/>
                <w:u w:val="single"/>
              </w:rPr>
              <w:t>References</w:t>
            </w:r>
          </w:p>
          <w:p w14:paraId="3557DB2A" w14:textId="19505463" w:rsidR="00D24EDB" w:rsidRPr="00D24EDB" w:rsidRDefault="00D24EDB" w:rsidP="00D24EDB">
            <w:pPr>
              <w:pStyle w:val="NormalWeb"/>
              <w:rPr>
                <w:rFonts w:asciiTheme="majorHAnsi" w:hAnsiTheme="majorHAnsi" w:cstheme="majorHAnsi"/>
              </w:rPr>
            </w:pPr>
            <w:r w:rsidRPr="00D24EDB">
              <w:rPr>
                <w:rFonts w:asciiTheme="majorHAnsi" w:hAnsiTheme="majorHAnsi" w:cstheme="majorHAnsi"/>
              </w:rPr>
              <w:lastRenderedPageBreak/>
              <w:t xml:space="preserve">Bruce, T. (2020) </w:t>
            </w:r>
            <w:r w:rsidRPr="00D24EDB">
              <w:rPr>
                <w:rFonts w:asciiTheme="majorHAnsi" w:hAnsiTheme="majorHAnsi" w:cstheme="majorHAnsi"/>
                <w:i/>
                <w:iCs/>
              </w:rPr>
              <w:t xml:space="preserve">Educating Young Children: A Lifetime Journey into a Froebelian Approach </w:t>
            </w:r>
            <w:r w:rsidRPr="00D24EDB">
              <w:rPr>
                <w:rFonts w:asciiTheme="majorHAnsi" w:hAnsiTheme="majorHAnsi" w:cstheme="majorHAnsi"/>
              </w:rPr>
              <w:t xml:space="preserve">[e-book]. London: Routledge. Available at: Maynooth University Library </w:t>
            </w:r>
            <w:r w:rsidRPr="00D24EDB">
              <w:rPr>
                <w:rFonts w:asciiTheme="majorHAnsi" w:hAnsiTheme="majorHAnsi" w:cstheme="majorHAnsi"/>
                <w:color w:val="007793"/>
              </w:rPr>
              <w:t xml:space="preserve">https://doi-org.jproxy.nuim.ie/10.4324/9781315658186 </w:t>
            </w:r>
            <w:r w:rsidRPr="00D24EDB">
              <w:rPr>
                <w:rFonts w:asciiTheme="majorHAnsi" w:hAnsiTheme="majorHAnsi" w:cstheme="majorHAnsi"/>
              </w:rPr>
              <w:t xml:space="preserve">(Accessed 20th May, 2021). </w:t>
            </w:r>
          </w:p>
          <w:p w14:paraId="60FBE100" w14:textId="777147CF" w:rsidR="00D24EDB" w:rsidRPr="00D24EDB" w:rsidRDefault="00D24EDB" w:rsidP="00D24EDB">
            <w:pPr>
              <w:pStyle w:val="NormalWeb"/>
              <w:rPr>
                <w:rFonts w:asciiTheme="majorHAnsi" w:hAnsiTheme="majorHAnsi" w:cstheme="majorHAnsi"/>
              </w:rPr>
            </w:pPr>
            <w:r w:rsidRPr="00D24EDB">
              <w:rPr>
                <w:rFonts w:asciiTheme="majorHAnsi" w:hAnsiTheme="majorHAnsi" w:cstheme="majorHAnsi"/>
              </w:rPr>
              <w:t xml:space="preserve">Davies, </w:t>
            </w:r>
            <w:proofErr w:type="spellStart"/>
            <w:r w:rsidRPr="00D24EDB">
              <w:rPr>
                <w:rFonts w:asciiTheme="majorHAnsi" w:hAnsiTheme="majorHAnsi" w:cstheme="majorHAnsi"/>
              </w:rPr>
              <w:t>D.,Jindal</w:t>
            </w:r>
            <w:proofErr w:type="spellEnd"/>
            <w:r w:rsidRPr="00D24EDB">
              <w:rPr>
                <w:rFonts w:asciiTheme="majorHAnsi" w:hAnsiTheme="majorHAnsi" w:cstheme="majorHAnsi"/>
              </w:rPr>
              <w:t xml:space="preserve">-Snape, D., Collier, C., Digby, R., Hay, P. &amp; Howe, A. (2011) Creative learning environments in education—A systematic literature review. </w:t>
            </w:r>
            <w:r w:rsidRPr="00D24EDB">
              <w:rPr>
                <w:rFonts w:asciiTheme="majorHAnsi" w:hAnsiTheme="majorHAnsi" w:cstheme="majorHAnsi"/>
                <w:i/>
                <w:iCs/>
              </w:rPr>
              <w:t xml:space="preserve">Thinking Skills and Creativity </w:t>
            </w:r>
            <w:r w:rsidRPr="00D24EDB">
              <w:rPr>
                <w:rFonts w:asciiTheme="majorHAnsi" w:hAnsiTheme="majorHAnsi" w:cstheme="majorHAnsi"/>
              </w:rPr>
              <w:t xml:space="preserve">[online]. 8, 80–91. Available at: </w:t>
            </w:r>
            <w:r w:rsidRPr="00D24EDB">
              <w:rPr>
                <w:rFonts w:asciiTheme="majorHAnsi" w:hAnsiTheme="majorHAnsi" w:cstheme="majorHAnsi"/>
                <w:color w:val="0F54CC"/>
              </w:rPr>
              <w:t xml:space="preserve">http://dx.doi.org/10.1016/j.tsc.2012.07.004 </w:t>
            </w:r>
            <w:r w:rsidRPr="00D24EDB">
              <w:rPr>
                <w:rFonts w:asciiTheme="majorHAnsi" w:hAnsiTheme="majorHAnsi" w:cstheme="majorHAnsi"/>
              </w:rPr>
              <w:t xml:space="preserve">(Accessed 10th July 2021). </w:t>
            </w:r>
          </w:p>
        </w:tc>
      </w:tr>
      <w:tr w:rsidR="003C0EF6" w:rsidRPr="00D24EDB" w14:paraId="26D884A4" w14:textId="77777777">
        <w:trPr>
          <w:trHeight w:val="440"/>
        </w:trPr>
        <w:tc>
          <w:tcPr>
            <w:tcW w:w="4514" w:type="dxa"/>
            <w:shd w:val="clear" w:color="auto" w:fill="F3F3F3"/>
            <w:tcMar>
              <w:top w:w="100" w:type="dxa"/>
              <w:left w:w="100" w:type="dxa"/>
              <w:bottom w:w="100" w:type="dxa"/>
              <w:right w:w="100" w:type="dxa"/>
            </w:tcMar>
          </w:tcPr>
          <w:p w14:paraId="538689E7" w14:textId="77777777" w:rsidR="003C0EF6" w:rsidRPr="00D24EDB" w:rsidRDefault="006A5242">
            <w:pPr>
              <w:rPr>
                <w:rFonts w:asciiTheme="majorHAnsi" w:eastAsia="Calibri" w:hAnsiTheme="majorHAnsi" w:cstheme="majorHAnsi"/>
                <w:b/>
                <w:sz w:val="24"/>
                <w:szCs w:val="24"/>
              </w:rPr>
            </w:pPr>
            <w:r w:rsidRPr="00D24EDB">
              <w:rPr>
                <w:rFonts w:asciiTheme="majorHAnsi" w:eastAsia="Calibri" w:hAnsiTheme="majorHAnsi" w:cstheme="majorHAnsi"/>
                <w:b/>
                <w:sz w:val="24"/>
                <w:szCs w:val="24"/>
              </w:rPr>
              <w:lastRenderedPageBreak/>
              <w:t>Keywords</w:t>
            </w:r>
          </w:p>
        </w:tc>
        <w:tc>
          <w:tcPr>
            <w:tcW w:w="4514" w:type="dxa"/>
            <w:shd w:val="clear" w:color="auto" w:fill="F3F3F3"/>
            <w:tcMar>
              <w:top w:w="100" w:type="dxa"/>
              <w:left w:w="100" w:type="dxa"/>
              <w:bottom w:w="100" w:type="dxa"/>
              <w:right w:w="100" w:type="dxa"/>
            </w:tcMar>
          </w:tcPr>
          <w:p w14:paraId="6B65436C" w14:textId="77777777" w:rsidR="003C0EF6" w:rsidRPr="00D24EDB" w:rsidRDefault="006A5242">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D24EDB">
              <w:rPr>
                <w:rFonts w:asciiTheme="majorHAnsi" w:eastAsia="Calibri" w:hAnsiTheme="majorHAnsi" w:cstheme="majorHAnsi"/>
                <w:sz w:val="24"/>
                <w:szCs w:val="24"/>
              </w:rPr>
              <w:t>Agency, Autonomy, Self-Study</w:t>
            </w:r>
          </w:p>
        </w:tc>
      </w:tr>
      <w:tr w:rsidR="003C0EF6" w:rsidRPr="00D24EDB" w14:paraId="6EDE40CF" w14:textId="77777777">
        <w:trPr>
          <w:trHeight w:val="440"/>
        </w:trPr>
        <w:tc>
          <w:tcPr>
            <w:tcW w:w="4514" w:type="dxa"/>
            <w:shd w:val="clear" w:color="auto" w:fill="auto"/>
            <w:tcMar>
              <w:top w:w="100" w:type="dxa"/>
              <w:left w:w="100" w:type="dxa"/>
              <w:bottom w:w="100" w:type="dxa"/>
              <w:right w:w="100" w:type="dxa"/>
            </w:tcMar>
          </w:tcPr>
          <w:p w14:paraId="5B654B89" w14:textId="77777777" w:rsidR="003C0EF6" w:rsidRPr="00D24EDB" w:rsidRDefault="006A5242">
            <w:pPr>
              <w:rPr>
                <w:rFonts w:asciiTheme="majorHAnsi" w:eastAsia="Calibri" w:hAnsiTheme="majorHAnsi" w:cstheme="majorHAnsi"/>
                <w:b/>
                <w:sz w:val="24"/>
                <w:szCs w:val="24"/>
              </w:rPr>
            </w:pPr>
            <w:r w:rsidRPr="00D24EDB">
              <w:rPr>
                <w:rFonts w:asciiTheme="majorHAnsi" w:eastAsia="Calibri" w:hAnsiTheme="majorHAnsi" w:cstheme="majorHAnsi"/>
                <w:b/>
                <w:sz w:val="24"/>
                <w:szCs w:val="24"/>
              </w:rPr>
              <w:t>Requirements</w:t>
            </w:r>
          </w:p>
        </w:tc>
        <w:tc>
          <w:tcPr>
            <w:tcW w:w="4514" w:type="dxa"/>
            <w:shd w:val="clear" w:color="auto" w:fill="auto"/>
            <w:tcMar>
              <w:top w:w="100" w:type="dxa"/>
              <w:left w:w="100" w:type="dxa"/>
              <w:bottom w:w="100" w:type="dxa"/>
              <w:right w:w="100" w:type="dxa"/>
            </w:tcMar>
          </w:tcPr>
          <w:p w14:paraId="580FBD4E" w14:textId="77777777" w:rsidR="003C0EF6" w:rsidRPr="00D24EDB" w:rsidRDefault="006A5242">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D24EDB">
              <w:rPr>
                <w:rFonts w:asciiTheme="majorHAnsi" w:eastAsia="Calibri" w:hAnsiTheme="majorHAnsi" w:cstheme="majorHAnsi"/>
                <w:sz w:val="24"/>
                <w:szCs w:val="24"/>
              </w:rPr>
              <w:t xml:space="preserve">Screen only </w:t>
            </w:r>
          </w:p>
        </w:tc>
      </w:tr>
    </w:tbl>
    <w:p w14:paraId="5F693F7B" w14:textId="77777777" w:rsidR="003C0EF6" w:rsidRPr="00D24EDB" w:rsidRDefault="003C0EF6">
      <w:pPr>
        <w:rPr>
          <w:rFonts w:asciiTheme="majorHAnsi" w:eastAsia="Calibri" w:hAnsiTheme="majorHAnsi" w:cstheme="majorHAnsi"/>
          <w:sz w:val="24"/>
          <w:szCs w:val="24"/>
        </w:rPr>
      </w:pPr>
    </w:p>
    <w:p w14:paraId="63B53C4E" w14:textId="77777777" w:rsidR="003C0EF6" w:rsidRPr="00D24EDB" w:rsidRDefault="006A5242">
      <w:pPr>
        <w:rPr>
          <w:rFonts w:asciiTheme="majorHAnsi" w:eastAsia="Calibri" w:hAnsiTheme="majorHAnsi" w:cstheme="majorHAnsi"/>
          <w:sz w:val="24"/>
          <w:szCs w:val="24"/>
        </w:rPr>
      </w:pPr>
      <w:r w:rsidRPr="00D24EDB">
        <w:rPr>
          <w:rFonts w:asciiTheme="majorHAnsi" w:eastAsia="Calibri" w:hAnsiTheme="majorHAnsi" w:cstheme="majorHAnsi"/>
          <w:sz w:val="24"/>
          <w:szCs w:val="24"/>
        </w:rPr>
        <w:t xml:space="preserve"> </w:t>
      </w:r>
    </w:p>
    <w:p w14:paraId="3AD76862" w14:textId="77777777" w:rsidR="003C0EF6" w:rsidRPr="00D24EDB" w:rsidRDefault="006A5242">
      <w:pPr>
        <w:rPr>
          <w:rFonts w:asciiTheme="majorHAnsi" w:eastAsia="Calibri" w:hAnsiTheme="majorHAnsi" w:cstheme="majorHAnsi"/>
          <w:sz w:val="24"/>
          <w:szCs w:val="24"/>
        </w:rPr>
      </w:pPr>
      <w:r w:rsidRPr="00D24EDB">
        <w:rPr>
          <w:rFonts w:asciiTheme="majorHAnsi" w:eastAsia="Calibri" w:hAnsiTheme="majorHAnsi" w:cstheme="majorHAnsi"/>
          <w:sz w:val="24"/>
          <w:szCs w:val="24"/>
        </w:rPr>
        <w:tab/>
      </w:r>
      <w:r w:rsidRPr="00D24EDB">
        <w:rPr>
          <w:rFonts w:asciiTheme="majorHAnsi" w:eastAsia="Calibri" w:hAnsiTheme="majorHAnsi" w:cstheme="majorHAnsi"/>
          <w:sz w:val="24"/>
          <w:szCs w:val="24"/>
        </w:rPr>
        <w:tab/>
      </w:r>
      <w:r w:rsidRPr="00D24EDB">
        <w:rPr>
          <w:rFonts w:asciiTheme="majorHAnsi" w:eastAsia="Calibri" w:hAnsiTheme="majorHAnsi" w:cstheme="majorHAnsi"/>
          <w:sz w:val="24"/>
          <w:szCs w:val="24"/>
        </w:rPr>
        <w:tab/>
      </w:r>
      <w:r w:rsidRPr="00D24EDB">
        <w:rPr>
          <w:rFonts w:asciiTheme="majorHAnsi" w:eastAsia="Calibri" w:hAnsiTheme="majorHAnsi" w:cstheme="majorHAnsi"/>
          <w:sz w:val="24"/>
          <w:szCs w:val="24"/>
        </w:rPr>
        <w:tab/>
      </w:r>
    </w:p>
    <w:p w14:paraId="74CC4E97" w14:textId="77777777" w:rsidR="003C0EF6" w:rsidRPr="00D24EDB" w:rsidRDefault="006A5242">
      <w:pPr>
        <w:rPr>
          <w:rFonts w:asciiTheme="majorHAnsi" w:eastAsia="Calibri" w:hAnsiTheme="majorHAnsi" w:cstheme="majorHAnsi"/>
          <w:sz w:val="24"/>
          <w:szCs w:val="24"/>
        </w:rPr>
      </w:pPr>
      <w:r w:rsidRPr="00D24EDB">
        <w:rPr>
          <w:rFonts w:asciiTheme="majorHAnsi" w:eastAsia="Calibri" w:hAnsiTheme="majorHAnsi" w:cstheme="majorHAnsi"/>
          <w:sz w:val="24"/>
          <w:szCs w:val="24"/>
        </w:rPr>
        <w:tab/>
      </w:r>
      <w:r w:rsidRPr="00D24EDB">
        <w:rPr>
          <w:rFonts w:asciiTheme="majorHAnsi" w:eastAsia="Calibri" w:hAnsiTheme="majorHAnsi" w:cstheme="majorHAnsi"/>
          <w:sz w:val="24"/>
          <w:szCs w:val="24"/>
        </w:rPr>
        <w:tab/>
      </w:r>
      <w:r w:rsidRPr="00D24EDB">
        <w:rPr>
          <w:rFonts w:asciiTheme="majorHAnsi" w:eastAsia="Calibri" w:hAnsiTheme="majorHAnsi" w:cstheme="majorHAnsi"/>
          <w:sz w:val="24"/>
          <w:szCs w:val="24"/>
        </w:rPr>
        <w:tab/>
      </w:r>
    </w:p>
    <w:p w14:paraId="5CEFF2A3" w14:textId="77777777" w:rsidR="003C0EF6" w:rsidRPr="00D24EDB" w:rsidRDefault="006A5242">
      <w:pPr>
        <w:rPr>
          <w:rFonts w:asciiTheme="majorHAnsi" w:eastAsia="Calibri" w:hAnsiTheme="majorHAnsi" w:cstheme="majorHAnsi"/>
          <w:sz w:val="24"/>
          <w:szCs w:val="24"/>
        </w:rPr>
      </w:pPr>
      <w:r w:rsidRPr="00D24EDB">
        <w:rPr>
          <w:rFonts w:asciiTheme="majorHAnsi" w:eastAsia="Calibri" w:hAnsiTheme="majorHAnsi" w:cstheme="majorHAnsi"/>
          <w:sz w:val="24"/>
          <w:szCs w:val="24"/>
        </w:rPr>
        <w:tab/>
      </w:r>
      <w:r w:rsidRPr="00D24EDB">
        <w:rPr>
          <w:rFonts w:asciiTheme="majorHAnsi" w:eastAsia="Calibri" w:hAnsiTheme="majorHAnsi" w:cstheme="majorHAnsi"/>
          <w:sz w:val="24"/>
          <w:szCs w:val="24"/>
        </w:rPr>
        <w:tab/>
      </w:r>
    </w:p>
    <w:p w14:paraId="7C3C33BF" w14:textId="77777777" w:rsidR="003C0EF6" w:rsidRPr="00D24EDB" w:rsidRDefault="003C0EF6">
      <w:pPr>
        <w:rPr>
          <w:rFonts w:asciiTheme="majorHAnsi" w:eastAsia="Calibri" w:hAnsiTheme="majorHAnsi" w:cstheme="majorHAnsi"/>
          <w:sz w:val="24"/>
          <w:szCs w:val="24"/>
        </w:rPr>
      </w:pPr>
    </w:p>
    <w:p w14:paraId="2C9A331B" w14:textId="77777777" w:rsidR="003C0EF6" w:rsidRPr="00D24EDB" w:rsidRDefault="003C0EF6">
      <w:pPr>
        <w:rPr>
          <w:rFonts w:asciiTheme="majorHAnsi" w:eastAsia="Calibri" w:hAnsiTheme="majorHAnsi" w:cstheme="majorHAnsi"/>
          <w:sz w:val="24"/>
          <w:szCs w:val="24"/>
        </w:rPr>
      </w:pPr>
    </w:p>
    <w:sectPr w:rsidR="003C0EF6" w:rsidRPr="00D24E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F6"/>
    <w:rsid w:val="003034FE"/>
    <w:rsid w:val="003C0EF6"/>
    <w:rsid w:val="00585994"/>
    <w:rsid w:val="006A5242"/>
    <w:rsid w:val="00C93163"/>
    <w:rsid w:val="00CF5608"/>
    <w:rsid w:val="00D24EDB"/>
    <w:rsid w:val="00E63F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27EA"/>
  <w15:docId w15:val="{63C17F7A-F74C-4A4C-8B52-40F44406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D24EDB"/>
    <w:pPr>
      <w:spacing w:before="100" w:beforeAutospacing="1" w:after="100" w:afterAutospacing="1" w:line="240" w:lineRule="auto"/>
    </w:pPr>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99100">
      <w:bodyDiv w:val="1"/>
      <w:marLeft w:val="0"/>
      <w:marRight w:val="0"/>
      <w:marTop w:val="0"/>
      <w:marBottom w:val="0"/>
      <w:divBdr>
        <w:top w:val="none" w:sz="0" w:space="0" w:color="auto"/>
        <w:left w:val="none" w:sz="0" w:space="0" w:color="auto"/>
        <w:bottom w:val="none" w:sz="0" w:space="0" w:color="auto"/>
        <w:right w:val="none" w:sz="0" w:space="0" w:color="auto"/>
      </w:divBdr>
      <w:divsChild>
        <w:div w:id="1245840946">
          <w:marLeft w:val="0"/>
          <w:marRight w:val="0"/>
          <w:marTop w:val="0"/>
          <w:marBottom w:val="0"/>
          <w:divBdr>
            <w:top w:val="none" w:sz="0" w:space="0" w:color="auto"/>
            <w:left w:val="none" w:sz="0" w:space="0" w:color="auto"/>
            <w:bottom w:val="none" w:sz="0" w:space="0" w:color="auto"/>
            <w:right w:val="none" w:sz="0" w:space="0" w:color="auto"/>
          </w:divBdr>
          <w:divsChild>
            <w:div w:id="1845587934">
              <w:marLeft w:val="0"/>
              <w:marRight w:val="0"/>
              <w:marTop w:val="0"/>
              <w:marBottom w:val="0"/>
              <w:divBdr>
                <w:top w:val="none" w:sz="0" w:space="0" w:color="auto"/>
                <w:left w:val="none" w:sz="0" w:space="0" w:color="auto"/>
                <w:bottom w:val="none" w:sz="0" w:space="0" w:color="auto"/>
                <w:right w:val="none" w:sz="0" w:space="0" w:color="auto"/>
              </w:divBdr>
              <w:divsChild>
                <w:div w:id="15281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3019">
      <w:bodyDiv w:val="1"/>
      <w:marLeft w:val="0"/>
      <w:marRight w:val="0"/>
      <w:marTop w:val="0"/>
      <w:marBottom w:val="0"/>
      <w:divBdr>
        <w:top w:val="none" w:sz="0" w:space="0" w:color="auto"/>
        <w:left w:val="none" w:sz="0" w:space="0" w:color="auto"/>
        <w:bottom w:val="none" w:sz="0" w:space="0" w:color="auto"/>
        <w:right w:val="none" w:sz="0" w:space="0" w:color="auto"/>
      </w:divBdr>
      <w:divsChild>
        <w:div w:id="591818713">
          <w:marLeft w:val="0"/>
          <w:marRight w:val="0"/>
          <w:marTop w:val="0"/>
          <w:marBottom w:val="0"/>
          <w:divBdr>
            <w:top w:val="none" w:sz="0" w:space="0" w:color="auto"/>
            <w:left w:val="none" w:sz="0" w:space="0" w:color="auto"/>
            <w:bottom w:val="none" w:sz="0" w:space="0" w:color="auto"/>
            <w:right w:val="none" w:sz="0" w:space="0" w:color="auto"/>
          </w:divBdr>
          <w:divsChild>
            <w:div w:id="542211919">
              <w:marLeft w:val="0"/>
              <w:marRight w:val="0"/>
              <w:marTop w:val="0"/>
              <w:marBottom w:val="0"/>
              <w:divBdr>
                <w:top w:val="none" w:sz="0" w:space="0" w:color="auto"/>
                <w:left w:val="none" w:sz="0" w:space="0" w:color="auto"/>
                <w:bottom w:val="none" w:sz="0" w:space="0" w:color="auto"/>
                <w:right w:val="none" w:sz="0" w:space="0" w:color="auto"/>
              </w:divBdr>
              <w:divsChild>
                <w:div w:id="10458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ABAD65333E64B8895DAA9799DD4B9" ma:contentTypeVersion="12" ma:contentTypeDescription="Create a new document." ma:contentTypeScope="" ma:versionID="6a8130f3b198377f3185cc865ab55777">
  <xsd:schema xmlns:xsd="http://www.w3.org/2001/XMLSchema" xmlns:xs="http://www.w3.org/2001/XMLSchema" xmlns:p="http://schemas.microsoft.com/office/2006/metadata/properties" xmlns:ns2="99637af7-127b-4645-bd4f-ee341e633766" xmlns:ns3="1a60ba1f-f66d-4522-a7c1-5d4bded81124" targetNamespace="http://schemas.microsoft.com/office/2006/metadata/properties" ma:root="true" ma:fieldsID="0058ba9251ea3a9b3b575287a87d041c" ns2:_="" ns3:_="">
    <xsd:import namespace="99637af7-127b-4645-bd4f-ee341e633766"/>
    <xsd:import namespace="1a60ba1f-f66d-4522-a7c1-5d4bded81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7af7-127b-4645-bd4f-ee341e63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0ba1f-f66d-4522-a7c1-5d4bded811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36717c-14ad-469e-88d5-1cc92724e53e}" ma:internalName="TaxCatchAll" ma:showField="CatchAllData" ma:web="1a60ba1f-f66d-4522-a7c1-5d4bded811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637af7-127b-4645-bd4f-ee341e633766">
      <Terms xmlns="http://schemas.microsoft.com/office/infopath/2007/PartnerControls"/>
    </lcf76f155ced4ddcb4097134ff3c332f>
    <TaxCatchAll xmlns="1a60ba1f-f66d-4522-a7c1-5d4bded811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34D9A-D988-46FC-9886-88D3E60FF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7af7-127b-4645-bd4f-ee341e633766"/>
    <ds:schemaRef ds:uri="1a60ba1f-f66d-4522-a7c1-5d4bded8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3EBF1-8935-45D9-8591-C63D2A37D14A}">
  <ds:schemaRefs>
    <ds:schemaRef ds:uri="http://schemas.microsoft.com/office/2006/metadata/properties"/>
    <ds:schemaRef ds:uri="http://schemas.microsoft.com/office/infopath/2007/PartnerControls"/>
    <ds:schemaRef ds:uri="99637af7-127b-4645-bd4f-ee341e633766"/>
    <ds:schemaRef ds:uri="1a60ba1f-f66d-4522-a7c1-5d4bded81124"/>
  </ds:schemaRefs>
</ds:datastoreItem>
</file>

<file path=customXml/itemProps3.xml><?xml version="1.0" encoding="utf-8"?>
<ds:datastoreItem xmlns:ds="http://schemas.openxmlformats.org/officeDocument/2006/customXml" ds:itemID="{1ED0CA3C-1F3A-4727-AA67-661338626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Gallagher</dc:creator>
  <cp:lastModifiedBy>Clara Jordan</cp:lastModifiedBy>
  <cp:revision>3</cp:revision>
  <dcterms:created xsi:type="dcterms:W3CDTF">2023-02-03T10:20:00Z</dcterms:created>
  <dcterms:modified xsi:type="dcterms:W3CDTF">2023-06-14T16:38:00Z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0x010100267ABAD65333E64B8895DAA9799DD4B9</vt:lpwstr>
  </property>
</Properties>
</file>