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966C" w14:textId="012A8091" w:rsidR="00C3310D" w:rsidRDefault="00C3310D" w:rsidP="00EF258F">
      <w:pPr>
        <w:pStyle w:val="paragraph"/>
        <w:textAlignment w:val="baseline"/>
        <w:rPr>
          <w:rStyle w:val="normaltextrun"/>
          <w:color w:val="2E74B5"/>
          <w:sz w:val="32"/>
          <w:szCs w:val="32"/>
        </w:rPr>
      </w:pPr>
      <w:bookmarkStart w:id="0" w:name="_GoBack"/>
      <w:bookmarkEnd w:id="0"/>
      <w:r>
        <w:rPr>
          <w:rStyle w:val="normaltextrun"/>
          <w:color w:val="2E74B5"/>
          <w:sz w:val="32"/>
          <w:szCs w:val="32"/>
        </w:rPr>
        <w:t>Maynooth Green Campus Report to Faculties</w:t>
      </w:r>
    </w:p>
    <w:p w14:paraId="5692EB4E" w14:textId="4ECA9520" w:rsidR="00C3310D" w:rsidRDefault="00C3310D" w:rsidP="00EF258F">
      <w:pPr>
        <w:pStyle w:val="paragraph"/>
        <w:textAlignment w:val="baseline"/>
        <w:rPr>
          <w:rStyle w:val="normaltextrun"/>
          <w:color w:val="2E74B5"/>
          <w:sz w:val="32"/>
          <w:szCs w:val="32"/>
        </w:rPr>
      </w:pPr>
      <w:r>
        <w:rPr>
          <w:rStyle w:val="normaltextrun"/>
          <w:color w:val="2E74B5"/>
          <w:sz w:val="32"/>
          <w:szCs w:val="32"/>
        </w:rPr>
        <w:t>January 2019</w:t>
      </w:r>
    </w:p>
    <w:p w14:paraId="1343D837" w14:textId="607B45AB" w:rsidR="00EF258F" w:rsidRPr="007A316E" w:rsidRDefault="00EF258F" w:rsidP="00C3310D">
      <w:pPr>
        <w:pStyle w:val="Heading2"/>
      </w:pPr>
      <w:r w:rsidRPr="007A316E">
        <w:rPr>
          <w:rStyle w:val="normaltextrun"/>
          <w:color w:val="2E74B5"/>
          <w:sz w:val="32"/>
          <w:szCs w:val="32"/>
        </w:rPr>
        <w:t>Maynooth University improves its global ranking in sustainability</w:t>
      </w:r>
      <w:r w:rsidRPr="007A316E">
        <w:rPr>
          <w:rStyle w:val="eop"/>
          <w:color w:val="2E74B5"/>
          <w:sz w:val="32"/>
          <w:szCs w:val="32"/>
        </w:rPr>
        <w:t> </w:t>
      </w:r>
    </w:p>
    <w:p w14:paraId="2CCA6B2E" w14:textId="3570FA8B" w:rsidR="00EF258F" w:rsidRPr="007A316E" w:rsidRDefault="00EF258F" w:rsidP="007A316E">
      <w:pPr>
        <w:pStyle w:val="paragraph"/>
        <w:spacing w:line="360" w:lineRule="auto"/>
        <w:textAlignment w:val="baseline"/>
        <w:rPr>
          <w:rStyle w:val="normaltextrun"/>
          <w:sz w:val="22"/>
          <w:szCs w:val="22"/>
        </w:rPr>
      </w:pPr>
      <w:r w:rsidRPr="007A316E">
        <w:rPr>
          <w:rStyle w:val="normaltextrun"/>
          <w:sz w:val="22"/>
          <w:szCs w:val="22"/>
        </w:rPr>
        <w:t>Maynooth University was ranked in the top 18%</w:t>
      </w:r>
      <w:r w:rsidR="00C3310D">
        <w:rPr>
          <w:rStyle w:val="normaltextrun"/>
          <w:sz w:val="22"/>
          <w:szCs w:val="22"/>
        </w:rPr>
        <w:t xml:space="preserve"> of university campuses in the world</w:t>
      </w:r>
      <w:r w:rsidRPr="007A316E">
        <w:rPr>
          <w:rStyle w:val="normaltextrun"/>
          <w:sz w:val="22"/>
          <w:szCs w:val="22"/>
        </w:rPr>
        <w:t xml:space="preserve"> in 2018</w:t>
      </w:r>
      <w:r w:rsidR="00C3310D">
        <w:rPr>
          <w:rStyle w:val="normaltextrun"/>
          <w:sz w:val="22"/>
          <w:szCs w:val="22"/>
        </w:rPr>
        <w:t>,</w:t>
      </w:r>
      <w:r w:rsidRPr="007A316E">
        <w:rPr>
          <w:rStyle w:val="normaltextrun"/>
          <w:sz w:val="22"/>
          <w:szCs w:val="22"/>
        </w:rPr>
        <w:t xml:space="preserve"> compared to the top 21% in 2017 according to the </w:t>
      </w:r>
      <w:hyperlink r:id="rId6" w:history="1">
        <w:r w:rsidRPr="007A316E">
          <w:rPr>
            <w:rStyle w:val="Hyperlink"/>
            <w:i/>
            <w:iCs/>
            <w:sz w:val="22"/>
            <w:szCs w:val="22"/>
          </w:rPr>
          <w:t>UI GreenMetric World University Ranking</w:t>
        </w:r>
      </w:hyperlink>
      <w:r w:rsidRPr="007A316E">
        <w:rPr>
          <w:rStyle w:val="normaltextrun"/>
          <w:sz w:val="22"/>
          <w:szCs w:val="22"/>
        </w:rPr>
        <w:t xml:space="preserve">. This is the third year in a row that the relative position has improved and is Maynooth’s highest relative placing since the University engaged with the </w:t>
      </w:r>
      <w:r w:rsidRPr="007A316E">
        <w:rPr>
          <w:rStyle w:val="spellingerror"/>
          <w:sz w:val="22"/>
          <w:szCs w:val="22"/>
        </w:rPr>
        <w:t>GreenMetric</w:t>
      </w:r>
      <w:r w:rsidR="00C3310D">
        <w:rPr>
          <w:rStyle w:val="normaltextrun"/>
          <w:sz w:val="22"/>
          <w:szCs w:val="22"/>
        </w:rPr>
        <w:t xml:space="preserve"> global ranking in 2015.</w:t>
      </w:r>
    </w:p>
    <w:p w14:paraId="6C7E9C33" w14:textId="21AEC4AA" w:rsidR="00EF258F" w:rsidRPr="007A316E" w:rsidRDefault="00EF258F" w:rsidP="007A316E">
      <w:pPr>
        <w:pStyle w:val="paragraph"/>
        <w:spacing w:line="360" w:lineRule="auto"/>
        <w:textAlignment w:val="baseline"/>
      </w:pPr>
      <w:r w:rsidRPr="007A316E">
        <w:rPr>
          <w:rStyle w:val="normaltextrun"/>
          <w:sz w:val="22"/>
          <w:szCs w:val="22"/>
        </w:rPr>
        <w:t xml:space="preserve">Maynooth University’s overall score has improved substantially from 54.1% </w:t>
      </w:r>
      <w:r w:rsidR="00DC105E" w:rsidRPr="007A316E">
        <w:rPr>
          <w:rStyle w:val="normaltextrun"/>
          <w:sz w:val="22"/>
          <w:szCs w:val="22"/>
        </w:rPr>
        <w:t xml:space="preserve">in 2017 </w:t>
      </w:r>
      <w:r w:rsidRPr="007A316E">
        <w:rPr>
          <w:rStyle w:val="normaltextrun"/>
          <w:sz w:val="22"/>
          <w:szCs w:val="22"/>
        </w:rPr>
        <w:t>to 61.8%</w:t>
      </w:r>
      <w:r w:rsidR="00DC105E" w:rsidRPr="007A316E">
        <w:rPr>
          <w:rStyle w:val="normaltextrun"/>
          <w:sz w:val="22"/>
          <w:szCs w:val="22"/>
        </w:rPr>
        <w:t xml:space="preserve"> in</w:t>
      </w:r>
      <w:r w:rsidR="00817A40" w:rsidRPr="007A316E">
        <w:rPr>
          <w:rStyle w:val="normaltextrun"/>
          <w:sz w:val="22"/>
          <w:szCs w:val="22"/>
        </w:rPr>
        <w:t xml:space="preserve"> 201</w:t>
      </w:r>
      <w:r w:rsidR="00DC105E" w:rsidRPr="007A316E">
        <w:rPr>
          <w:rStyle w:val="normaltextrun"/>
          <w:sz w:val="22"/>
          <w:szCs w:val="22"/>
        </w:rPr>
        <w:t>8</w:t>
      </w:r>
      <w:r w:rsidRPr="007A316E">
        <w:rPr>
          <w:rStyle w:val="normaltextrun"/>
          <w:sz w:val="22"/>
          <w:szCs w:val="22"/>
        </w:rPr>
        <w:t>. This overall score is based on weighted scores in each of a number of thematic areas, as set out in table 2</w:t>
      </w:r>
      <w:r w:rsidR="00DC105E" w:rsidRPr="007A316E">
        <w:rPr>
          <w:rStyle w:val="normaltextrun"/>
          <w:sz w:val="22"/>
          <w:szCs w:val="22"/>
        </w:rPr>
        <w:t xml:space="preserve"> and figure 2</w:t>
      </w:r>
      <w:r w:rsidRPr="007A316E">
        <w:rPr>
          <w:rStyle w:val="normaltextrun"/>
          <w:sz w:val="22"/>
          <w:szCs w:val="22"/>
        </w:rPr>
        <w:t>. In 2018, p</w:t>
      </w:r>
      <w:r w:rsidRPr="007A316E">
        <w:rPr>
          <w:rStyle w:val="advancedproofingissue"/>
          <w:sz w:val="22"/>
          <w:szCs w:val="22"/>
        </w:rPr>
        <w:t>articular improvements</w:t>
      </w:r>
      <w:r w:rsidRPr="007A316E">
        <w:rPr>
          <w:rStyle w:val="normaltextrun"/>
          <w:sz w:val="22"/>
          <w:szCs w:val="22"/>
        </w:rPr>
        <w:t xml:space="preserve"> were noted, compared to 2017, in the points received for </w:t>
      </w:r>
      <w:r w:rsidR="00817A40" w:rsidRPr="007A316E">
        <w:rPr>
          <w:rStyle w:val="normaltextrun"/>
          <w:sz w:val="22"/>
          <w:szCs w:val="22"/>
        </w:rPr>
        <w:t>Education from 695 to 1,125</w:t>
      </w:r>
      <w:r w:rsidRPr="007A316E">
        <w:rPr>
          <w:rStyle w:val="normaltextrun"/>
          <w:sz w:val="22"/>
          <w:szCs w:val="22"/>
        </w:rPr>
        <w:t xml:space="preserve"> </w:t>
      </w:r>
      <w:r w:rsidR="00817A40" w:rsidRPr="007A316E">
        <w:rPr>
          <w:rStyle w:val="normaltextrun"/>
          <w:sz w:val="22"/>
          <w:szCs w:val="22"/>
        </w:rPr>
        <w:t>(</w:t>
      </w:r>
      <w:r w:rsidRPr="007A316E">
        <w:rPr>
          <w:rStyle w:val="normaltextrun"/>
          <w:sz w:val="22"/>
          <w:szCs w:val="22"/>
        </w:rPr>
        <w:t>maximum of 1800</w:t>
      </w:r>
      <w:r w:rsidR="00A44AA5" w:rsidRPr="007A316E">
        <w:rPr>
          <w:rStyle w:val="normaltextrun"/>
          <w:sz w:val="22"/>
          <w:szCs w:val="22"/>
        </w:rPr>
        <w:t>)</w:t>
      </w:r>
      <w:r w:rsidRPr="007A316E">
        <w:rPr>
          <w:rStyle w:val="normaltextrun"/>
          <w:sz w:val="22"/>
          <w:szCs w:val="22"/>
        </w:rPr>
        <w:t xml:space="preserve">. Under Setting and Infrastructure, the score increased from </w:t>
      </w:r>
      <w:r w:rsidR="00817A40" w:rsidRPr="007A316E">
        <w:rPr>
          <w:rStyle w:val="normaltextrun"/>
          <w:sz w:val="22"/>
          <w:szCs w:val="22"/>
        </w:rPr>
        <w:t>799 to 1025 (maximum 1,500</w:t>
      </w:r>
      <w:r w:rsidR="00AE2572" w:rsidRPr="007A316E">
        <w:rPr>
          <w:rStyle w:val="normaltextrun"/>
          <w:sz w:val="22"/>
          <w:szCs w:val="22"/>
        </w:rPr>
        <w:t>). Scores for Transport and for Energy, and climate change have also improved</w:t>
      </w:r>
      <w:r w:rsidRPr="007A316E">
        <w:rPr>
          <w:rStyle w:val="normaltextrun"/>
          <w:sz w:val="22"/>
          <w:szCs w:val="22"/>
        </w:rPr>
        <w:t>.</w:t>
      </w:r>
      <w:r w:rsidR="00AE2572" w:rsidRPr="007A316E">
        <w:rPr>
          <w:rStyle w:val="normaltextrun"/>
          <w:sz w:val="22"/>
          <w:szCs w:val="22"/>
        </w:rPr>
        <w:t xml:space="preserve"> </w:t>
      </w:r>
      <w:r w:rsidRPr="007A316E">
        <w:rPr>
          <w:rStyle w:val="normaltextrun"/>
          <w:sz w:val="22"/>
          <w:szCs w:val="22"/>
        </w:rPr>
        <w:t> </w:t>
      </w:r>
      <w:r w:rsidR="00DC105E" w:rsidRPr="007A316E">
        <w:rPr>
          <w:rStyle w:val="normaltextrun"/>
          <w:sz w:val="22"/>
          <w:szCs w:val="22"/>
        </w:rPr>
        <w:t xml:space="preserve">Table 2 </w:t>
      </w:r>
      <w:r w:rsidR="00A65CDE">
        <w:rPr>
          <w:rStyle w:val="normaltextrun"/>
          <w:sz w:val="22"/>
          <w:szCs w:val="22"/>
        </w:rPr>
        <w:t xml:space="preserve">and Figure 1 </w:t>
      </w:r>
      <w:r w:rsidR="00DC105E" w:rsidRPr="007A316E">
        <w:rPr>
          <w:rStyle w:val="normaltextrun"/>
          <w:sz w:val="22"/>
          <w:szCs w:val="22"/>
        </w:rPr>
        <w:t>show the trends for each theme.</w:t>
      </w:r>
      <w:r w:rsidRPr="007A316E">
        <w:rPr>
          <w:rStyle w:val="eop"/>
          <w:sz w:val="22"/>
          <w:szCs w:val="22"/>
        </w:rPr>
        <w:t> </w:t>
      </w:r>
    </w:p>
    <w:p w14:paraId="503B3E39" w14:textId="77777777" w:rsidR="00A44AA5" w:rsidRPr="007A316E" w:rsidRDefault="00EF258F" w:rsidP="007A316E">
      <w:pPr>
        <w:pStyle w:val="paragraph"/>
        <w:spacing w:line="360" w:lineRule="auto"/>
        <w:textAlignment w:val="baseline"/>
        <w:rPr>
          <w:rStyle w:val="eop"/>
          <w:sz w:val="22"/>
          <w:szCs w:val="22"/>
        </w:rPr>
      </w:pPr>
      <w:r w:rsidRPr="007A316E">
        <w:rPr>
          <w:rStyle w:val="normaltextrun"/>
          <w:sz w:val="22"/>
          <w:szCs w:val="22"/>
        </w:rPr>
        <w:t xml:space="preserve">This year's </w:t>
      </w:r>
      <w:r w:rsidR="00AE2572" w:rsidRPr="007A316E">
        <w:rPr>
          <w:rStyle w:val="normaltextrun"/>
          <w:sz w:val="22"/>
          <w:szCs w:val="22"/>
        </w:rPr>
        <w:t xml:space="preserve">improved score and relative </w:t>
      </w:r>
      <w:r w:rsidRPr="007A316E">
        <w:rPr>
          <w:rStyle w:val="normaltextrun"/>
          <w:sz w:val="22"/>
          <w:szCs w:val="22"/>
        </w:rPr>
        <w:t xml:space="preserve">ranking is </w:t>
      </w:r>
      <w:r w:rsidR="00AE2572" w:rsidRPr="007A316E">
        <w:rPr>
          <w:rStyle w:val="normaltextrun"/>
          <w:sz w:val="22"/>
          <w:szCs w:val="22"/>
        </w:rPr>
        <w:t>a</w:t>
      </w:r>
      <w:r w:rsidRPr="007A316E">
        <w:rPr>
          <w:rStyle w:val="normaltextrun"/>
          <w:sz w:val="22"/>
          <w:szCs w:val="22"/>
        </w:rPr>
        <w:t xml:space="preserve"> credit </w:t>
      </w:r>
      <w:r w:rsidR="00AE2572" w:rsidRPr="007A316E">
        <w:rPr>
          <w:rStyle w:val="normaltextrun"/>
          <w:sz w:val="22"/>
          <w:szCs w:val="22"/>
        </w:rPr>
        <w:t xml:space="preserve">to all of </w:t>
      </w:r>
      <w:r w:rsidRPr="007A316E">
        <w:rPr>
          <w:rStyle w:val="normaltextrun"/>
          <w:sz w:val="22"/>
          <w:szCs w:val="22"/>
        </w:rPr>
        <w:t xml:space="preserve">staff, </w:t>
      </w:r>
      <w:r w:rsidR="00AE2572" w:rsidRPr="007A316E">
        <w:rPr>
          <w:rStyle w:val="normaltextrun"/>
          <w:sz w:val="22"/>
          <w:szCs w:val="22"/>
        </w:rPr>
        <w:t>management</w:t>
      </w:r>
      <w:r w:rsidRPr="007A316E">
        <w:rPr>
          <w:rStyle w:val="normaltextrun"/>
          <w:sz w:val="22"/>
          <w:szCs w:val="22"/>
        </w:rPr>
        <w:t xml:space="preserve"> and </w:t>
      </w:r>
      <w:r w:rsidR="00AE2572" w:rsidRPr="007A316E">
        <w:rPr>
          <w:rStyle w:val="normaltextrun"/>
          <w:sz w:val="22"/>
          <w:szCs w:val="22"/>
        </w:rPr>
        <w:t xml:space="preserve">students and to the ongoing work of </w:t>
      </w:r>
      <w:r w:rsidRPr="007A316E">
        <w:rPr>
          <w:rStyle w:val="normaltextrun"/>
          <w:sz w:val="22"/>
          <w:szCs w:val="22"/>
        </w:rPr>
        <w:t>Maynooth Green Campus. </w:t>
      </w:r>
      <w:r w:rsidRPr="007A316E">
        <w:rPr>
          <w:rStyle w:val="eop"/>
          <w:sz w:val="22"/>
          <w:szCs w:val="22"/>
        </w:rPr>
        <w:t> </w:t>
      </w:r>
      <w:r w:rsidR="00AE2572" w:rsidRPr="007A316E">
        <w:rPr>
          <w:rStyle w:val="eop"/>
          <w:sz w:val="22"/>
          <w:szCs w:val="22"/>
        </w:rPr>
        <w:t xml:space="preserve">There is still progress to be made and certainly no room for complacency but we are moving in the right direction. </w:t>
      </w:r>
    </w:p>
    <w:p w14:paraId="0BCEE78D" w14:textId="45B0AB60" w:rsidR="00EF258F" w:rsidRDefault="00EF258F" w:rsidP="007A316E">
      <w:pPr>
        <w:pStyle w:val="paragraph"/>
        <w:spacing w:line="360" w:lineRule="auto"/>
        <w:textAlignment w:val="baseline"/>
        <w:rPr>
          <w:rStyle w:val="eop"/>
          <w:sz w:val="22"/>
          <w:szCs w:val="22"/>
        </w:rPr>
      </w:pPr>
      <w:r w:rsidRPr="007A316E">
        <w:rPr>
          <w:rStyle w:val="normaltextrun"/>
          <w:sz w:val="22"/>
          <w:szCs w:val="22"/>
        </w:rPr>
        <w:t xml:space="preserve">According to </w:t>
      </w:r>
      <w:r w:rsidRPr="007A316E">
        <w:rPr>
          <w:rStyle w:val="spellingerror"/>
          <w:sz w:val="22"/>
          <w:szCs w:val="22"/>
        </w:rPr>
        <w:t>Dr.</w:t>
      </w:r>
      <w:r w:rsidRPr="007A316E">
        <w:rPr>
          <w:rStyle w:val="normaltextrun"/>
          <w:sz w:val="22"/>
          <w:szCs w:val="22"/>
        </w:rPr>
        <w:t xml:space="preserve"> Joe </w:t>
      </w:r>
      <w:r w:rsidRPr="007A316E">
        <w:rPr>
          <w:rStyle w:val="spellingerror"/>
          <w:sz w:val="22"/>
          <w:szCs w:val="22"/>
        </w:rPr>
        <w:t>Larragy</w:t>
      </w:r>
      <w:r w:rsidRPr="007A316E">
        <w:rPr>
          <w:rStyle w:val="normaltextrun"/>
          <w:sz w:val="22"/>
          <w:szCs w:val="22"/>
        </w:rPr>
        <w:t xml:space="preserve">, chair of Maynooth Green Campus, "this is </w:t>
      </w:r>
      <w:r w:rsidR="00AE2572" w:rsidRPr="007A316E">
        <w:rPr>
          <w:rStyle w:val="normaltextrun"/>
          <w:sz w:val="22"/>
          <w:szCs w:val="22"/>
        </w:rPr>
        <w:t xml:space="preserve">another landmark in a year when Maynooth campus </w:t>
      </w:r>
      <w:r w:rsidR="00A65CDE">
        <w:rPr>
          <w:rStyle w:val="normaltextrun"/>
          <w:sz w:val="22"/>
          <w:szCs w:val="22"/>
        </w:rPr>
        <w:t>was awarded the FEE green campus flag (</w:t>
      </w:r>
      <w:r w:rsidR="00AE2572" w:rsidRPr="007A316E">
        <w:rPr>
          <w:rStyle w:val="normaltextrun"/>
          <w:sz w:val="22"/>
          <w:szCs w:val="22"/>
        </w:rPr>
        <w:t>Maynooth University and SPCM</w:t>
      </w:r>
      <w:r w:rsidR="00A65CDE">
        <w:rPr>
          <w:rStyle w:val="normaltextrun"/>
          <w:sz w:val="22"/>
          <w:szCs w:val="22"/>
        </w:rPr>
        <w:t>)</w:t>
      </w:r>
      <w:r w:rsidR="00AE2572" w:rsidRPr="007A316E">
        <w:rPr>
          <w:rStyle w:val="normaltextrun"/>
          <w:sz w:val="22"/>
          <w:szCs w:val="22"/>
        </w:rPr>
        <w:t>.</w:t>
      </w:r>
      <w:r w:rsidRPr="007A316E">
        <w:rPr>
          <w:rStyle w:val="normaltextrun"/>
          <w:sz w:val="22"/>
          <w:szCs w:val="22"/>
        </w:rPr>
        <w:t xml:space="preserve"> Maynooth campus has made great strides in relation to energy, wast</w:t>
      </w:r>
      <w:r w:rsidR="00A65CDE">
        <w:rPr>
          <w:rStyle w:val="normaltextrun"/>
          <w:sz w:val="22"/>
          <w:szCs w:val="22"/>
        </w:rPr>
        <w:t>e, water, biodiversity, travel/</w:t>
      </w:r>
      <w:r w:rsidRPr="007A316E">
        <w:rPr>
          <w:rStyle w:val="normaltextrun"/>
          <w:sz w:val="22"/>
          <w:szCs w:val="22"/>
        </w:rPr>
        <w:t>transportation,</w:t>
      </w:r>
      <w:r w:rsidR="00AE2572" w:rsidRPr="007A316E">
        <w:rPr>
          <w:rStyle w:val="normaltextrun"/>
          <w:sz w:val="22"/>
          <w:szCs w:val="22"/>
        </w:rPr>
        <w:t xml:space="preserve"> and</w:t>
      </w:r>
      <w:r w:rsidRPr="007A316E">
        <w:rPr>
          <w:rStyle w:val="normaltextrun"/>
          <w:sz w:val="22"/>
          <w:szCs w:val="22"/>
        </w:rPr>
        <w:t xml:space="preserve"> </w:t>
      </w:r>
      <w:r w:rsidR="00AE2572" w:rsidRPr="007A316E">
        <w:rPr>
          <w:rStyle w:val="normaltextrun"/>
          <w:sz w:val="22"/>
          <w:szCs w:val="22"/>
        </w:rPr>
        <w:t>education, and has</w:t>
      </w:r>
      <w:r w:rsidRPr="007A316E">
        <w:rPr>
          <w:rStyle w:val="normaltextrun"/>
          <w:sz w:val="22"/>
          <w:szCs w:val="22"/>
        </w:rPr>
        <w:t xml:space="preserve"> provided leadership in the area of climate justice</w:t>
      </w:r>
      <w:r w:rsidR="007567B5" w:rsidRPr="007A316E">
        <w:rPr>
          <w:rStyle w:val="normaltextrun"/>
          <w:sz w:val="22"/>
          <w:szCs w:val="22"/>
        </w:rPr>
        <w:t>.</w:t>
      </w:r>
      <w:r w:rsidR="00A44AA5" w:rsidRPr="007A316E">
        <w:rPr>
          <w:rStyle w:val="normaltextrun"/>
          <w:sz w:val="22"/>
          <w:szCs w:val="22"/>
        </w:rPr>
        <w:t>”</w:t>
      </w:r>
      <w:r w:rsidR="007567B5" w:rsidRPr="007A316E">
        <w:rPr>
          <w:rStyle w:val="normaltextrun"/>
          <w:sz w:val="22"/>
          <w:szCs w:val="22"/>
        </w:rPr>
        <w:t xml:space="preserve"> </w:t>
      </w:r>
      <w:r w:rsidRPr="007A316E">
        <w:rPr>
          <w:rStyle w:val="normaltextrun"/>
          <w:sz w:val="22"/>
          <w:szCs w:val="22"/>
        </w:rPr>
        <w:t xml:space="preserve">(* The </w:t>
      </w:r>
      <w:r w:rsidRPr="007A316E">
        <w:rPr>
          <w:rStyle w:val="normaltextrun"/>
          <w:i/>
          <w:iCs/>
          <w:sz w:val="22"/>
          <w:szCs w:val="22"/>
        </w:rPr>
        <w:t xml:space="preserve">UI </w:t>
      </w:r>
      <w:r w:rsidRPr="007A316E">
        <w:rPr>
          <w:rStyle w:val="spellingerror"/>
          <w:i/>
          <w:iCs/>
          <w:sz w:val="22"/>
          <w:szCs w:val="22"/>
        </w:rPr>
        <w:t>GreenMetric</w:t>
      </w:r>
      <w:r w:rsidRPr="007A316E">
        <w:rPr>
          <w:rStyle w:val="normaltextrun"/>
          <w:i/>
          <w:iCs/>
          <w:sz w:val="22"/>
          <w:szCs w:val="22"/>
        </w:rPr>
        <w:t xml:space="preserve"> World University Ranking</w:t>
      </w:r>
      <w:r w:rsidRPr="007A316E">
        <w:rPr>
          <w:rStyle w:val="normaltextrun"/>
          <w:sz w:val="22"/>
          <w:szCs w:val="22"/>
        </w:rPr>
        <w:t xml:space="preserve"> is an initiative of </w:t>
      </w:r>
      <w:r w:rsidRPr="007A316E">
        <w:rPr>
          <w:rStyle w:val="spellingerror"/>
          <w:i/>
          <w:iCs/>
          <w:sz w:val="22"/>
          <w:szCs w:val="22"/>
        </w:rPr>
        <w:t>Universitas</w:t>
      </w:r>
      <w:r w:rsidRPr="007A316E">
        <w:rPr>
          <w:rStyle w:val="normaltextrun"/>
          <w:i/>
          <w:iCs/>
          <w:sz w:val="22"/>
          <w:szCs w:val="22"/>
        </w:rPr>
        <w:t xml:space="preserve"> Indonesia</w:t>
      </w:r>
      <w:r w:rsidRPr="007A316E">
        <w:rPr>
          <w:rStyle w:val="normaltextrun"/>
          <w:sz w:val="22"/>
          <w:szCs w:val="22"/>
        </w:rPr>
        <w:t xml:space="preserve">, </w:t>
      </w:r>
      <w:r w:rsidR="00A44AA5" w:rsidRPr="007A316E">
        <w:rPr>
          <w:rStyle w:val="normaltextrun"/>
          <w:sz w:val="22"/>
          <w:szCs w:val="22"/>
        </w:rPr>
        <w:t>launched in 2010</w:t>
      </w:r>
      <w:r w:rsidRPr="007A316E">
        <w:rPr>
          <w:rStyle w:val="normaltextrun"/>
          <w:sz w:val="22"/>
          <w:szCs w:val="22"/>
        </w:rPr>
        <w:t>.)</w:t>
      </w:r>
      <w:r w:rsidRPr="007A316E">
        <w:rPr>
          <w:rStyle w:val="eop"/>
          <w:sz w:val="22"/>
          <w:szCs w:val="22"/>
        </w:rPr>
        <w:t> </w:t>
      </w:r>
    </w:p>
    <w:p w14:paraId="61F0F646" w14:textId="260186BC" w:rsidR="007A316E" w:rsidRPr="007A316E" w:rsidRDefault="007A316E" w:rsidP="007A316E">
      <w:pPr>
        <w:pStyle w:val="paragraph"/>
        <w:spacing w:line="360" w:lineRule="auto"/>
        <w:textAlignment w:val="baseline"/>
        <w:rPr>
          <w:rStyle w:val="eop"/>
          <w:sz w:val="22"/>
          <w:szCs w:val="22"/>
        </w:rPr>
      </w:pPr>
    </w:p>
    <w:p w14:paraId="6F17F6C8" w14:textId="77777777" w:rsidR="007A316E" w:rsidRPr="007A316E" w:rsidRDefault="007A316E" w:rsidP="007A316E">
      <w:pPr>
        <w:pStyle w:val="Heading2"/>
      </w:pPr>
      <w:r w:rsidRPr="007A316E">
        <w:t>Table 1: Percent achieved by theme 2017 and 2018</w:t>
      </w:r>
    </w:p>
    <w:tbl>
      <w:tblPr>
        <w:tblStyle w:val="TableGrid"/>
        <w:tblW w:w="6882" w:type="dxa"/>
        <w:tblLook w:val="04A0" w:firstRow="1" w:lastRow="0" w:firstColumn="1" w:lastColumn="0" w:noHBand="0" w:noVBand="1"/>
      </w:tblPr>
      <w:tblGrid>
        <w:gridCol w:w="3682"/>
        <w:gridCol w:w="947"/>
        <w:gridCol w:w="1121"/>
        <w:gridCol w:w="1132"/>
      </w:tblGrid>
      <w:tr w:rsidR="007A316E" w:rsidRPr="007A316E" w14:paraId="0E80BB9B" w14:textId="77777777" w:rsidTr="007A316E">
        <w:tc>
          <w:tcPr>
            <w:tcW w:w="3682" w:type="dxa"/>
          </w:tcPr>
          <w:p w14:paraId="05635510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A316E">
              <w:rPr>
                <w:rFonts w:ascii="Times New Roman" w:hAnsi="Times New Roman" w:cs="Times New Roman"/>
                <w:bCs/>
              </w:rPr>
              <w:t>Category</w:t>
            </w:r>
          </w:p>
        </w:tc>
        <w:tc>
          <w:tcPr>
            <w:tcW w:w="947" w:type="dxa"/>
          </w:tcPr>
          <w:p w14:paraId="2B811E1B" w14:textId="2FC7F062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7A316E">
              <w:rPr>
                <w:rFonts w:ascii="Times New Roman" w:hAnsi="Times New Roman" w:cs="Times New Roman"/>
                <w:bCs/>
              </w:rPr>
              <w:t xml:space="preserve">Max (pts) </w:t>
            </w:r>
          </w:p>
        </w:tc>
        <w:tc>
          <w:tcPr>
            <w:tcW w:w="1121" w:type="dxa"/>
          </w:tcPr>
          <w:p w14:paraId="136CB2ED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2017</w:t>
            </w:r>
          </w:p>
          <w:p w14:paraId="4C18DBA7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132" w:type="dxa"/>
          </w:tcPr>
          <w:p w14:paraId="70AF804A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2018</w:t>
            </w:r>
          </w:p>
          <w:p w14:paraId="17D982EF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(%)</w:t>
            </w:r>
          </w:p>
        </w:tc>
      </w:tr>
      <w:tr w:rsidR="007A316E" w:rsidRPr="007A316E" w14:paraId="1F66787C" w14:textId="77777777" w:rsidTr="007A316E">
        <w:tc>
          <w:tcPr>
            <w:tcW w:w="3682" w:type="dxa"/>
          </w:tcPr>
          <w:p w14:paraId="7BA9E64C" w14:textId="77777777" w:rsidR="007A316E" w:rsidRPr="007A316E" w:rsidRDefault="007A316E" w:rsidP="00325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316E">
              <w:rPr>
                <w:rFonts w:ascii="Times New Roman" w:hAnsi="Times New Roman" w:cs="Times New Roman"/>
                <w:bCs/>
              </w:rPr>
              <w:t>Setting and Infrastructure (SI)</w:t>
            </w:r>
          </w:p>
        </w:tc>
        <w:tc>
          <w:tcPr>
            <w:tcW w:w="947" w:type="dxa"/>
          </w:tcPr>
          <w:p w14:paraId="3218D3E1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7A316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1" w:type="dxa"/>
          </w:tcPr>
          <w:p w14:paraId="7D853D25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53.27</w:t>
            </w:r>
          </w:p>
        </w:tc>
        <w:tc>
          <w:tcPr>
            <w:tcW w:w="1132" w:type="dxa"/>
            <w:vAlign w:val="center"/>
          </w:tcPr>
          <w:p w14:paraId="7B87AF8C" w14:textId="77777777" w:rsidR="007A316E" w:rsidRPr="007A316E" w:rsidRDefault="007A316E" w:rsidP="00325617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68.33</w:t>
            </w:r>
          </w:p>
        </w:tc>
      </w:tr>
      <w:tr w:rsidR="007A316E" w:rsidRPr="007A316E" w14:paraId="5DE8681F" w14:textId="77777777" w:rsidTr="007A316E">
        <w:tc>
          <w:tcPr>
            <w:tcW w:w="3682" w:type="dxa"/>
          </w:tcPr>
          <w:p w14:paraId="3928F2CE" w14:textId="77777777" w:rsidR="007A316E" w:rsidRPr="007A316E" w:rsidRDefault="007A316E" w:rsidP="00325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316E">
              <w:rPr>
                <w:rFonts w:ascii="Times New Roman" w:hAnsi="Times New Roman" w:cs="Times New Roman"/>
                <w:bCs/>
              </w:rPr>
              <w:t>Energy and Climate Change (EC)</w:t>
            </w:r>
          </w:p>
        </w:tc>
        <w:tc>
          <w:tcPr>
            <w:tcW w:w="947" w:type="dxa"/>
          </w:tcPr>
          <w:p w14:paraId="21C6B169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121" w:type="dxa"/>
          </w:tcPr>
          <w:p w14:paraId="5E90BFC4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44.38</w:t>
            </w:r>
          </w:p>
        </w:tc>
        <w:tc>
          <w:tcPr>
            <w:tcW w:w="1132" w:type="dxa"/>
            <w:vAlign w:val="center"/>
          </w:tcPr>
          <w:p w14:paraId="7219AC00" w14:textId="77777777" w:rsidR="007A316E" w:rsidRPr="007A316E" w:rsidRDefault="007A316E" w:rsidP="00325617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51.19</w:t>
            </w:r>
          </w:p>
        </w:tc>
      </w:tr>
      <w:tr w:rsidR="007A316E" w:rsidRPr="007A316E" w14:paraId="1068ECBB" w14:textId="77777777" w:rsidTr="007A316E">
        <w:tc>
          <w:tcPr>
            <w:tcW w:w="3682" w:type="dxa"/>
          </w:tcPr>
          <w:p w14:paraId="37EF4B4C" w14:textId="77777777" w:rsidR="007A316E" w:rsidRPr="007A316E" w:rsidRDefault="007A316E" w:rsidP="00325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316E">
              <w:rPr>
                <w:rFonts w:ascii="Times New Roman" w:hAnsi="Times New Roman" w:cs="Times New Roman"/>
                <w:bCs/>
              </w:rPr>
              <w:t>Waste (WS)</w:t>
            </w:r>
          </w:p>
        </w:tc>
        <w:tc>
          <w:tcPr>
            <w:tcW w:w="947" w:type="dxa"/>
          </w:tcPr>
          <w:p w14:paraId="15FEBC2B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21" w:type="dxa"/>
          </w:tcPr>
          <w:p w14:paraId="68857A89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79.33</w:t>
            </w:r>
          </w:p>
        </w:tc>
        <w:tc>
          <w:tcPr>
            <w:tcW w:w="1132" w:type="dxa"/>
            <w:vAlign w:val="center"/>
          </w:tcPr>
          <w:p w14:paraId="63BACD75" w14:textId="77777777" w:rsidR="007A316E" w:rsidRPr="007A316E" w:rsidRDefault="007A316E" w:rsidP="00325617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75.00</w:t>
            </w:r>
          </w:p>
        </w:tc>
      </w:tr>
      <w:tr w:rsidR="007A316E" w:rsidRPr="007A316E" w14:paraId="17D0F78C" w14:textId="77777777" w:rsidTr="007A316E">
        <w:tc>
          <w:tcPr>
            <w:tcW w:w="3682" w:type="dxa"/>
          </w:tcPr>
          <w:p w14:paraId="244E72A4" w14:textId="77777777" w:rsidR="007A316E" w:rsidRPr="007A316E" w:rsidRDefault="007A316E" w:rsidP="00325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316E">
              <w:rPr>
                <w:rFonts w:ascii="Times New Roman" w:hAnsi="Times New Roman" w:cs="Times New Roman"/>
                <w:bCs/>
              </w:rPr>
              <w:t>Water (WR)</w:t>
            </w:r>
          </w:p>
        </w:tc>
        <w:tc>
          <w:tcPr>
            <w:tcW w:w="947" w:type="dxa"/>
          </w:tcPr>
          <w:p w14:paraId="7A46F35C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1" w:type="dxa"/>
          </w:tcPr>
          <w:p w14:paraId="0EF2F727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64.00</w:t>
            </w:r>
          </w:p>
        </w:tc>
        <w:tc>
          <w:tcPr>
            <w:tcW w:w="1132" w:type="dxa"/>
            <w:vAlign w:val="center"/>
          </w:tcPr>
          <w:p w14:paraId="1A0047D8" w14:textId="77777777" w:rsidR="007A316E" w:rsidRPr="007A316E" w:rsidRDefault="007A316E" w:rsidP="00325617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50.00</w:t>
            </w:r>
          </w:p>
        </w:tc>
      </w:tr>
      <w:tr w:rsidR="007A316E" w:rsidRPr="007A316E" w14:paraId="023DC115" w14:textId="77777777" w:rsidTr="007A316E">
        <w:tc>
          <w:tcPr>
            <w:tcW w:w="3682" w:type="dxa"/>
          </w:tcPr>
          <w:p w14:paraId="46B573AD" w14:textId="77777777" w:rsidR="007A316E" w:rsidRPr="007A316E" w:rsidRDefault="007A316E" w:rsidP="00325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316E">
              <w:rPr>
                <w:rFonts w:ascii="Times New Roman" w:hAnsi="Times New Roman" w:cs="Times New Roman"/>
                <w:bCs/>
              </w:rPr>
              <w:t>Transportation (TR)</w:t>
            </w:r>
          </w:p>
        </w:tc>
        <w:tc>
          <w:tcPr>
            <w:tcW w:w="947" w:type="dxa"/>
          </w:tcPr>
          <w:p w14:paraId="0027D450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21" w:type="dxa"/>
          </w:tcPr>
          <w:p w14:paraId="1308B644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50.72</w:t>
            </w:r>
          </w:p>
        </w:tc>
        <w:tc>
          <w:tcPr>
            <w:tcW w:w="1132" w:type="dxa"/>
            <w:vAlign w:val="center"/>
          </w:tcPr>
          <w:p w14:paraId="504500D5" w14:textId="77777777" w:rsidR="007A316E" w:rsidRPr="007A316E" w:rsidRDefault="007A316E" w:rsidP="00325617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61.11</w:t>
            </w:r>
          </w:p>
        </w:tc>
      </w:tr>
      <w:tr w:rsidR="007A316E" w:rsidRPr="007A316E" w14:paraId="60941128" w14:textId="77777777" w:rsidTr="007A316E">
        <w:tc>
          <w:tcPr>
            <w:tcW w:w="3682" w:type="dxa"/>
          </w:tcPr>
          <w:p w14:paraId="1624F62F" w14:textId="77777777" w:rsidR="007A316E" w:rsidRPr="007A316E" w:rsidRDefault="007A316E" w:rsidP="00325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A316E">
              <w:rPr>
                <w:rFonts w:ascii="Times New Roman" w:hAnsi="Times New Roman" w:cs="Times New Roman"/>
                <w:bCs/>
              </w:rPr>
              <w:t>Education (ED)</w:t>
            </w:r>
          </w:p>
        </w:tc>
        <w:tc>
          <w:tcPr>
            <w:tcW w:w="947" w:type="dxa"/>
          </w:tcPr>
          <w:p w14:paraId="15F737F8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21" w:type="dxa"/>
          </w:tcPr>
          <w:p w14:paraId="482AEAA1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38.61</w:t>
            </w:r>
          </w:p>
        </w:tc>
        <w:tc>
          <w:tcPr>
            <w:tcW w:w="1132" w:type="dxa"/>
            <w:vAlign w:val="center"/>
          </w:tcPr>
          <w:p w14:paraId="3177EB8B" w14:textId="77777777" w:rsidR="007A316E" w:rsidRPr="007A316E" w:rsidRDefault="007A316E" w:rsidP="00325617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62.50</w:t>
            </w:r>
          </w:p>
        </w:tc>
      </w:tr>
      <w:tr w:rsidR="007A316E" w:rsidRPr="007A316E" w14:paraId="5FEE7D85" w14:textId="77777777" w:rsidTr="007A316E">
        <w:tc>
          <w:tcPr>
            <w:tcW w:w="3682" w:type="dxa"/>
          </w:tcPr>
          <w:p w14:paraId="2B630752" w14:textId="77777777" w:rsidR="007A316E" w:rsidRPr="007A316E" w:rsidRDefault="007A316E" w:rsidP="003256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A316E">
              <w:rPr>
                <w:rFonts w:ascii="Times New Roman" w:hAnsi="Times New Roman" w:cs="Times New Roman"/>
                <w:b/>
                <w:bCs/>
              </w:rPr>
              <w:t>Total Score</w:t>
            </w:r>
          </w:p>
        </w:tc>
        <w:tc>
          <w:tcPr>
            <w:tcW w:w="947" w:type="dxa"/>
          </w:tcPr>
          <w:p w14:paraId="1192A8A0" w14:textId="77777777" w:rsidR="007A316E" w:rsidRPr="007A316E" w:rsidRDefault="007A316E" w:rsidP="0032561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7A316E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1121" w:type="dxa"/>
          </w:tcPr>
          <w:p w14:paraId="425BB3BA" w14:textId="77777777" w:rsidR="007A316E" w:rsidRPr="007A316E" w:rsidRDefault="007A316E" w:rsidP="00325617">
            <w:pPr>
              <w:ind w:firstLine="201"/>
              <w:rPr>
                <w:rFonts w:ascii="Times New Roman" w:hAnsi="Times New Roman" w:cs="Times New Roman"/>
                <w:b/>
              </w:rPr>
            </w:pPr>
            <w:r w:rsidRPr="007A316E">
              <w:rPr>
                <w:rFonts w:ascii="Times New Roman" w:hAnsi="Times New Roman" w:cs="Times New Roman"/>
                <w:b/>
              </w:rPr>
              <w:t>54.07</w:t>
            </w:r>
          </w:p>
        </w:tc>
        <w:tc>
          <w:tcPr>
            <w:tcW w:w="1132" w:type="dxa"/>
          </w:tcPr>
          <w:p w14:paraId="530AC9D9" w14:textId="77777777" w:rsidR="007A316E" w:rsidRPr="007A316E" w:rsidRDefault="007A316E" w:rsidP="00325617">
            <w:pPr>
              <w:ind w:firstLine="201"/>
              <w:rPr>
                <w:rFonts w:ascii="Times New Roman" w:hAnsi="Times New Roman" w:cs="Times New Roman"/>
                <w:b/>
              </w:rPr>
            </w:pPr>
            <w:r w:rsidRPr="007A316E">
              <w:rPr>
                <w:rFonts w:ascii="Times New Roman" w:hAnsi="Times New Roman" w:cs="Times New Roman"/>
                <w:b/>
              </w:rPr>
              <w:t>61.75</w:t>
            </w:r>
          </w:p>
        </w:tc>
      </w:tr>
    </w:tbl>
    <w:p w14:paraId="5B52428A" w14:textId="5E348597" w:rsidR="007A316E" w:rsidRDefault="007A316E" w:rsidP="007A316E">
      <w:pPr>
        <w:rPr>
          <w:rFonts w:ascii="Times New Roman" w:hAnsi="Times New Roman" w:cs="Times New Roman"/>
        </w:rPr>
      </w:pPr>
    </w:p>
    <w:p w14:paraId="36FE1606" w14:textId="77777777" w:rsidR="007A316E" w:rsidRPr="007A316E" w:rsidRDefault="007A316E" w:rsidP="007A316E">
      <w:pPr>
        <w:rPr>
          <w:rFonts w:ascii="Times New Roman" w:hAnsi="Times New Roman" w:cs="Times New Roman"/>
        </w:rPr>
      </w:pPr>
    </w:p>
    <w:p w14:paraId="4C9FA465" w14:textId="77777777" w:rsidR="007A316E" w:rsidRPr="007A316E" w:rsidRDefault="007A316E" w:rsidP="00A65CDE">
      <w:pPr>
        <w:pStyle w:val="Heading2"/>
        <w:rPr>
          <w:rFonts w:eastAsiaTheme="minorHAnsi"/>
        </w:rPr>
      </w:pPr>
      <w:r w:rsidRPr="007A316E">
        <w:t xml:space="preserve">Figure 1: </w:t>
      </w:r>
      <w:r w:rsidRPr="007A316E">
        <w:rPr>
          <w:rFonts w:eastAsiaTheme="minorHAnsi"/>
        </w:rPr>
        <w:t xml:space="preserve">Maynooth University GreenMetric 2018 &amp; 2017 </w:t>
      </w:r>
      <w:r w:rsidRPr="007A316E">
        <w:t xml:space="preserve">Scores </w:t>
      </w:r>
      <w:r w:rsidRPr="007A316E">
        <w:rPr>
          <w:rFonts w:eastAsiaTheme="minorHAnsi"/>
        </w:rPr>
        <w:t>compared</w:t>
      </w:r>
    </w:p>
    <w:p w14:paraId="237283B8" w14:textId="77777777" w:rsidR="007A316E" w:rsidRPr="007A316E" w:rsidRDefault="007A316E" w:rsidP="007A316E">
      <w:pPr>
        <w:rPr>
          <w:rFonts w:ascii="Times New Roman" w:hAnsi="Times New Roman" w:cs="Times New Roman"/>
        </w:rPr>
      </w:pPr>
      <w:r w:rsidRPr="007A316E">
        <w:rPr>
          <w:rFonts w:ascii="Times New Roman" w:hAnsi="Times New Roman" w:cs="Times New Roman"/>
          <w:noProof/>
          <w:lang w:eastAsia="en-IE"/>
        </w:rPr>
        <w:drawing>
          <wp:inline distT="0" distB="0" distL="0" distR="0" wp14:anchorId="13EBB45B" wp14:editId="5472BBBB">
            <wp:extent cx="5636526" cy="2743200"/>
            <wp:effectExtent l="0" t="0" r="25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B33F931" w14:textId="77777777" w:rsidR="007A316E" w:rsidRPr="007A316E" w:rsidRDefault="007A316E" w:rsidP="007A316E">
      <w:pPr>
        <w:rPr>
          <w:rFonts w:ascii="Times New Roman" w:hAnsi="Times New Roman" w:cs="Times New Roman"/>
        </w:rPr>
      </w:pPr>
    </w:p>
    <w:p w14:paraId="1B95D3B5" w14:textId="4F0BACD7" w:rsidR="00A34DB1" w:rsidRPr="007A316E" w:rsidRDefault="00DC105E" w:rsidP="00A65CDE">
      <w:pPr>
        <w:pStyle w:val="Heading2"/>
        <w:rPr>
          <w:rFonts w:ascii="Times New Roman" w:hAnsi="Times New Roman" w:cs="Times New Roman"/>
        </w:rPr>
      </w:pPr>
      <w:r w:rsidRPr="007A316E">
        <w:rPr>
          <w:rFonts w:ascii="Times New Roman" w:hAnsi="Times New Roman" w:cs="Times New Roman"/>
        </w:rPr>
        <w:t xml:space="preserve">Table 2: </w:t>
      </w:r>
      <w:r w:rsidR="007A316E">
        <w:t>MU points awarded by theme in each year 2015-2018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099"/>
        <w:gridCol w:w="1110"/>
        <w:gridCol w:w="1375"/>
        <w:gridCol w:w="1156"/>
        <w:gridCol w:w="906"/>
        <w:gridCol w:w="874"/>
        <w:gridCol w:w="993"/>
        <w:gridCol w:w="1267"/>
        <w:gridCol w:w="859"/>
      </w:tblGrid>
      <w:tr w:rsidR="007567B5" w:rsidRPr="007A316E" w14:paraId="34EB30EF" w14:textId="77777777" w:rsidTr="00A65CDE">
        <w:trPr>
          <w:trHeight w:val="1200"/>
          <w:jc w:val="center"/>
        </w:trPr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7852B" w14:textId="77777777" w:rsidR="007567B5" w:rsidRPr="007A316E" w:rsidRDefault="00A44AA5" w:rsidP="00AF1EAF">
            <w:pPr>
              <w:rPr>
                <w:rFonts w:ascii="Times New Roman" w:hAnsi="Times New Roman" w:cs="Times New Roman"/>
                <w:color w:val="1F497D"/>
              </w:rPr>
            </w:pPr>
            <w:r w:rsidRPr="007A316E">
              <w:rPr>
                <w:rFonts w:ascii="Times New Roman" w:hAnsi="Times New Roman" w:cs="Times New Roman"/>
                <w:color w:val="1F497D"/>
              </w:rPr>
              <w:br w:type="page"/>
            </w:r>
            <w:r w:rsidR="007567B5" w:rsidRPr="007A316E">
              <w:rPr>
                <w:rFonts w:ascii="Times New Roman" w:hAnsi="Times New Roman" w:cs="Times New Roman"/>
              </w:rPr>
              <w:t xml:space="preserve">Maynooth University </w:t>
            </w:r>
            <w:r w:rsidR="00A34DB1" w:rsidRPr="007A316E">
              <w:rPr>
                <w:rFonts w:ascii="Times New Roman" w:hAnsi="Times New Roman" w:cs="Times New Roman"/>
              </w:rPr>
              <w:t>GreenMetric</w:t>
            </w:r>
          </w:p>
        </w:tc>
        <w:tc>
          <w:tcPr>
            <w:tcW w:w="1099" w:type="dxa"/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A83A" w14:textId="57F9FEC7" w:rsidR="00A44AA5" w:rsidRPr="007A316E" w:rsidRDefault="00DC105E" w:rsidP="00DC105E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</w:rPr>
            </w:pPr>
            <w:r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 xml:space="preserve">Ranking: </w:t>
            </w:r>
            <w:r w:rsidR="00A44AA5"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>Maynooth</w:t>
            </w:r>
            <w:r w:rsidR="007567B5"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 xml:space="preserve"> </w:t>
            </w:r>
            <w:r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 xml:space="preserve">/ All </w:t>
            </w:r>
          </w:p>
        </w:tc>
        <w:tc>
          <w:tcPr>
            <w:tcW w:w="1110" w:type="dxa"/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E783C" w14:textId="77777777" w:rsidR="007567B5" w:rsidRPr="007A316E" w:rsidRDefault="007567B5" w:rsidP="00A44AA5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</w:rPr>
            </w:pPr>
            <w:r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>Total Maynooth</w:t>
            </w:r>
          </w:p>
        </w:tc>
        <w:tc>
          <w:tcPr>
            <w:tcW w:w="1375" w:type="dxa"/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7745B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</w:rPr>
            </w:pPr>
            <w:r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>Setting and Infrastructure</w:t>
            </w:r>
          </w:p>
        </w:tc>
        <w:tc>
          <w:tcPr>
            <w:tcW w:w="1156" w:type="dxa"/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7A9BE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</w:rPr>
            </w:pPr>
            <w:r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>Energy and Climate Change</w:t>
            </w:r>
          </w:p>
        </w:tc>
        <w:tc>
          <w:tcPr>
            <w:tcW w:w="906" w:type="dxa"/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799F8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</w:rPr>
            </w:pPr>
            <w:r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>Waste</w:t>
            </w:r>
          </w:p>
        </w:tc>
        <w:tc>
          <w:tcPr>
            <w:tcW w:w="874" w:type="dxa"/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7E8F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</w:rPr>
            </w:pPr>
            <w:r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>Water</w:t>
            </w:r>
          </w:p>
        </w:tc>
        <w:tc>
          <w:tcPr>
            <w:tcW w:w="993" w:type="dxa"/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60804" w14:textId="77777777" w:rsidR="007567B5" w:rsidRPr="007A316E" w:rsidRDefault="007567B5" w:rsidP="00AF1EAF">
            <w:pPr>
              <w:ind w:left="-163" w:right="-160"/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</w:rPr>
            </w:pPr>
            <w:r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>Transport</w:t>
            </w:r>
          </w:p>
        </w:tc>
        <w:tc>
          <w:tcPr>
            <w:tcW w:w="1267" w:type="dxa"/>
            <w:shd w:val="clear" w:color="auto" w:fill="33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E7A03" w14:textId="7D59E2B9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  <w:bCs/>
                <w:color w:val="FFFFFF"/>
                <w:sz w:val="20"/>
              </w:rPr>
            </w:pPr>
            <w:r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>Education</w:t>
            </w:r>
            <w:r w:rsidR="00DC105E" w:rsidRPr="007A316E">
              <w:rPr>
                <w:rFonts w:ascii="Times New Roman" w:hAnsi="Times New Roman" w:cs="Times New Roman"/>
                <w:bCs/>
                <w:color w:val="FFFFFF"/>
                <w:sz w:val="20"/>
              </w:rPr>
              <w:t xml:space="preserve"> &amp; Research</w:t>
            </w:r>
          </w:p>
        </w:tc>
        <w:tc>
          <w:tcPr>
            <w:tcW w:w="859" w:type="dxa"/>
            <w:shd w:val="clear" w:color="auto" w:fill="3399FF"/>
            <w:vAlign w:val="center"/>
          </w:tcPr>
          <w:p w14:paraId="7BDBA8E4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A316E">
              <w:rPr>
                <w:rFonts w:ascii="Times New Roman" w:hAnsi="Times New Roman" w:cs="Times New Roman"/>
                <w:bCs/>
                <w:color w:val="FFFFFF" w:themeColor="background1"/>
                <w:sz w:val="20"/>
              </w:rPr>
              <w:t>Total %</w:t>
            </w:r>
          </w:p>
        </w:tc>
      </w:tr>
      <w:tr w:rsidR="007567B5" w:rsidRPr="007A316E" w14:paraId="119C9F81" w14:textId="77777777" w:rsidTr="00A65CDE">
        <w:trPr>
          <w:trHeight w:val="600"/>
          <w:jc w:val="center"/>
        </w:trPr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10F46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3D117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93/407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1EF9" w14:textId="5AE3245A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316E">
              <w:rPr>
                <w:rFonts w:ascii="Times New Roman" w:hAnsi="Times New Roman" w:cs="Times New Roman"/>
                <w:b/>
              </w:rPr>
              <w:t>5</w:t>
            </w:r>
            <w:r w:rsidR="00C3310D">
              <w:rPr>
                <w:rFonts w:ascii="Times New Roman" w:hAnsi="Times New Roman" w:cs="Times New Roman"/>
                <w:b/>
              </w:rPr>
              <w:t>,</w:t>
            </w:r>
            <w:r w:rsidRPr="007A316E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5F219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9966" w14:textId="51A03432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</w:t>
            </w:r>
            <w:r w:rsidR="00C3310D">
              <w:rPr>
                <w:rFonts w:ascii="Times New Roman" w:hAnsi="Times New Roman" w:cs="Times New Roman"/>
              </w:rPr>
              <w:t>,</w:t>
            </w:r>
            <w:r w:rsidRPr="007A31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C29C" w14:textId="34CEE699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</w:t>
            </w:r>
            <w:r w:rsidR="00C3310D">
              <w:rPr>
                <w:rFonts w:ascii="Times New Roman" w:hAnsi="Times New Roman" w:cs="Times New Roman"/>
              </w:rPr>
              <w:t>,</w:t>
            </w:r>
            <w:r w:rsidRPr="007A316E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8AB5E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32709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8812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859" w:type="dxa"/>
            <w:vAlign w:val="center"/>
          </w:tcPr>
          <w:p w14:paraId="3189E17F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55.4</w:t>
            </w:r>
          </w:p>
        </w:tc>
      </w:tr>
      <w:tr w:rsidR="007567B5" w:rsidRPr="007A316E" w14:paraId="5943F7AF" w14:textId="77777777" w:rsidTr="00A65CDE">
        <w:trPr>
          <w:trHeight w:val="600"/>
          <w:jc w:val="center"/>
        </w:trPr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CD96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  <w:bCs/>
                <w:color w:val="FFFFFF"/>
              </w:rPr>
            </w:pPr>
            <w:r w:rsidRPr="007A316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ED666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190</w:t>
            </w:r>
            <w:r w:rsidR="00A34DB1" w:rsidRPr="007A316E">
              <w:rPr>
                <w:rFonts w:ascii="Times New Roman" w:hAnsi="Times New Roman" w:cs="Times New Roman"/>
              </w:rPr>
              <w:t>/516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D7E7" w14:textId="5EB7BBDE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316E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="00C3310D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Pr="007A316E">
              <w:rPr>
                <w:rFonts w:ascii="Times New Roman" w:hAnsi="Times New Roman" w:cs="Times New Roman"/>
                <w:b/>
                <w:color w:val="FF0000"/>
              </w:rPr>
              <w:t>891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E9261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  <w:color w:val="00B050"/>
              </w:rPr>
              <w:t>831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28ECC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A316E">
              <w:rPr>
                <w:rFonts w:ascii="Times New Roman" w:hAnsi="Times New Roman" w:cs="Times New Roman"/>
                <w:color w:val="FF0000"/>
              </w:rPr>
              <w:t>869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CEFD1" w14:textId="392AAC46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A316E">
              <w:rPr>
                <w:rFonts w:ascii="Times New Roman" w:hAnsi="Times New Roman" w:cs="Times New Roman"/>
                <w:color w:val="FF0000"/>
              </w:rPr>
              <w:t>1</w:t>
            </w:r>
            <w:r w:rsidR="00C3310D">
              <w:rPr>
                <w:rFonts w:ascii="Times New Roman" w:hAnsi="Times New Roman" w:cs="Times New Roman"/>
                <w:color w:val="FF0000"/>
              </w:rPr>
              <w:t>,</w:t>
            </w:r>
            <w:r w:rsidRPr="007A316E">
              <w:rPr>
                <w:rFonts w:ascii="Times New Roman" w:hAnsi="Times New Roman" w:cs="Times New Roman"/>
                <w:color w:val="FF0000"/>
              </w:rPr>
              <w:t>326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F83F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A316E">
              <w:rPr>
                <w:rFonts w:ascii="Times New Roman" w:hAnsi="Times New Roman" w:cs="Times New Roman"/>
                <w:color w:val="FF0000"/>
              </w:rPr>
              <w:t>415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6220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A316E">
              <w:rPr>
                <w:rFonts w:ascii="Times New Roman" w:hAnsi="Times New Roman" w:cs="Times New Roman"/>
                <w:color w:val="FF0000"/>
              </w:rPr>
              <w:t>695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94C46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  <w:color w:val="00B050"/>
              </w:rPr>
              <w:t>755</w:t>
            </w:r>
          </w:p>
        </w:tc>
        <w:tc>
          <w:tcPr>
            <w:tcW w:w="859" w:type="dxa"/>
            <w:vAlign w:val="center"/>
          </w:tcPr>
          <w:p w14:paraId="744013C9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48.9</w:t>
            </w:r>
          </w:p>
        </w:tc>
      </w:tr>
      <w:tr w:rsidR="007567B5" w:rsidRPr="007A316E" w14:paraId="79791E5A" w14:textId="77777777" w:rsidTr="00A65CDE">
        <w:trPr>
          <w:trHeight w:val="600"/>
          <w:jc w:val="center"/>
        </w:trPr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1E38C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325B5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128/619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A8544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316E">
              <w:rPr>
                <w:rFonts w:ascii="Times New Roman" w:hAnsi="Times New Roman" w:cs="Times New Roman"/>
                <w:b/>
                <w:color w:val="00B050"/>
              </w:rPr>
              <w:t>5,407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6CDA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  <w:color w:val="FF0000"/>
              </w:rPr>
              <w:t>799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7B771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  <w:color w:val="00B050"/>
              </w:rPr>
              <w:t>932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587F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  <w:color w:val="00B050"/>
              </w:rPr>
              <w:t>1,428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0CFEF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  <w:color w:val="00B050"/>
              </w:rPr>
              <w:t>640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EED2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  <w:color w:val="00B050"/>
              </w:rPr>
              <w:t>913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7D6D0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  <w:color w:val="FF0000"/>
              </w:rPr>
              <w:t>695</w:t>
            </w:r>
          </w:p>
        </w:tc>
        <w:tc>
          <w:tcPr>
            <w:tcW w:w="859" w:type="dxa"/>
            <w:vAlign w:val="center"/>
          </w:tcPr>
          <w:p w14:paraId="7C08D24F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54.7</w:t>
            </w:r>
          </w:p>
        </w:tc>
      </w:tr>
      <w:tr w:rsidR="007567B5" w:rsidRPr="007A316E" w14:paraId="47E86C31" w14:textId="77777777" w:rsidTr="00A65CDE">
        <w:trPr>
          <w:trHeight w:val="600"/>
          <w:jc w:val="center"/>
        </w:trPr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E5410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BBCE9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130/719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AFAFB" w14:textId="06D134E1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b/>
                <w:color w:val="00B050"/>
              </w:rPr>
            </w:pPr>
            <w:r w:rsidRPr="007A316E">
              <w:rPr>
                <w:rFonts w:ascii="Times New Roman" w:hAnsi="Times New Roman" w:cs="Times New Roman"/>
                <w:b/>
                <w:color w:val="00B050"/>
              </w:rPr>
              <w:t>6</w:t>
            </w:r>
            <w:r w:rsidR="00C3310D">
              <w:rPr>
                <w:rFonts w:ascii="Times New Roman" w:hAnsi="Times New Roman" w:cs="Times New Roman"/>
                <w:b/>
                <w:color w:val="00B050"/>
              </w:rPr>
              <w:t>,</w:t>
            </w:r>
            <w:r w:rsidRPr="007A316E">
              <w:rPr>
                <w:rFonts w:ascii="Times New Roman" w:hAnsi="Times New Roman" w:cs="Times New Roman"/>
                <w:b/>
                <w:color w:val="00B050"/>
              </w:rPr>
              <w:t>175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B3BD6" w14:textId="500BBC6B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  <w:r w:rsidRPr="007A316E">
              <w:rPr>
                <w:rFonts w:ascii="Times New Roman" w:hAnsi="Times New Roman" w:cs="Times New Roman"/>
                <w:color w:val="00B050"/>
              </w:rPr>
              <w:t>1</w:t>
            </w:r>
            <w:r w:rsidR="00C3310D">
              <w:rPr>
                <w:rFonts w:ascii="Times New Roman" w:hAnsi="Times New Roman" w:cs="Times New Roman"/>
                <w:color w:val="00B050"/>
              </w:rPr>
              <w:t>,</w:t>
            </w:r>
            <w:r w:rsidRPr="007A316E">
              <w:rPr>
                <w:rFonts w:ascii="Times New Roman" w:hAnsi="Times New Roman" w:cs="Times New Roman"/>
                <w:color w:val="00B050"/>
              </w:rPr>
              <w:t>025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539D" w14:textId="69CF06DB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  <w:r w:rsidRPr="007A316E">
              <w:rPr>
                <w:rFonts w:ascii="Times New Roman" w:hAnsi="Times New Roman" w:cs="Times New Roman"/>
                <w:color w:val="00B050"/>
              </w:rPr>
              <w:t>1</w:t>
            </w:r>
            <w:r w:rsidR="00C3310D">
              <w:rPr>
                <w:rFonts w:ascii="Times New Roman" w:hAnsi="Times New Roman" w:cs="Times New Roman"/>
                <w:color w:val="00B050"/>
              </w:rPr>
              <w:t>,</w:t>
            </w:r>
            <w:r w:rsidRPr="007A316E">
              <w:rPr>
                <w:rFonts w:ascii="Times New Roman" w:hAnsi="Times New Roman" w:cs="Times New Roman"/>
                <w:color w:val="00B050"/>
              </w:rPr>
              <w:t>075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83D5" w14:textId="57D28D20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A316E">
              <w:rPr>
                <w:rFonts w:ascii="Times New Roman" w:hAnsi="Times New Roman" w:cs="Times New Roman"/>
                <w:color w:val="FF0000"/>
              </w:rPr>
              <w:t>1</w:t>
            </w:r>
            <w:r w:rsidR="00C3310D">
              <w:rPr>
                <w:rFonts w:ascii="Times New Roman" w:hAnsi="Times New Roman" w:cs="Times New Roman"/>
                <w:color w:val="FF0000"/>
              </w:rPr>
              <w:t>,</w:t>
            </w:r>
            <w:r w:rsidRPr="007A316E">
              <w:rPr>
                <w:rFonts w:ascii="Times New Roman" w:hAnsi="Times New Roman" w:cs="Times New Roman"/>
                <w:color w:val="FF0000"/>
              </w:rPr>
              <w:t>350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D3507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7A316E">
              <w:rPr>
                <w:rFonts w:ascii="Times New Roman" w:hAnsi="Times New Roman" w:cs="Times New Roman"/>
                <w:color w:val="FF0000"/>
              </w:rPr>
              <w:t>500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845A6" w14:textId="28DA2501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  <w:r w:rsidRPr="007A316E">
              <w:rPr>
                <w:rFonts w:ascii="Times New Roman" w:hAnsi="Times New Roman" w:cs="Times New Roman"/>
                <w:color w:val="00B050"/>
              </w:rPr>
              <w:t>1</w:t>
            </w:r>
            <w:r w:rsidR="00C3310D">
              <w:rPr>
                <w:rFonts w:ascii="Times New Roman" w:hAnsi="Times New Roman" w:cs="Times New Roman"/>
                <w:color w:val="00B050"/>
              </w:rPr>
              <w:t>,</w:t>
            </w:r>
            <w:r w:rsidRPr="007A316E">
              <w:rPr>
                <w:rFonts w:ascii="Times New Roman" w:hAnsi="Times New Roman" w:cs="Times New Roman"/>
                <w:color w:val="00B050"/>
              </w:rPr>
              <w:t>100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4F81B" w14:textId="46612093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color w:val="00B050"/>
              </w:rPr>
            </w:pPr>
            <w:r w:rsidRPr="007A316E">
              <w:rPr>
                <w:rFonts w:ascii="Times New Roman" w:hAnsi="Times New Roman" w:cs="Times New Roman"/>
                <w:color w:val="00B050"/>
              </w:rPr>
              <w:t>1</w:t>
            </w:r>
            <w:r w:rsidR="00C3310D">
              <w:rPr>
                <w:rFonts w:ascii="Times New Roman" w:hAnsi="Times New Roman" w:cs="Times New Roman"/>
                <w:color w:val="00B050"/>
              </w:rPr>
              <w:t>,</w:t>
            </w:r>
            <w:r w:rsidRPr="007A316E">
              <w:rPr>
                <w:rFonts w:ascii="Times New Roman" w:hAnsi="Times New Roman" w:cs="Times New Roman"/>
                <w:color w:val="00B050"/>
              </w:rPr>
              <w:t>125</w:t>
            </w:r>
          </w:p>
        </w:tc>
        <w:tc>
          <w:tcPr>
            <w:tcW w:w="859" w:type="dxa"/>
            <w:vAlign w:val="center"/>
          </w:tcPr>
          <w:p w14:paraId="5B1ECE97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A316E">
              <w:rPr>
                <w:rFonts w:ascii="Times New Roman" w:hAnsi="Times New Roman" w:cs="Times New Roman"/>
              </w:rPr>
              <w:t>61.75</w:t>
            </w:r>
          </w:p>
        </w:tc>
      </w:tr>
      <w:tr w:rsidR="007567B5" w:rsidRPr="007A316E" w14:paraId="0ECE296D" w14:textId="77777777" w:rsidTr="00A65CDE">
        <w:trPr>
          <w:trHeight w:val="600"/>
          <w:jc w:val="center"/>
        </w:trPr>
        <w:tc>
          <w:tcPr>
            <w:tcW w:w="14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B7EE0" w14:textId="77777777" w:rsidR="007567B5" w:rsidRPr="007A316E" w:rsidRDefault="007567B5" w:rsidP="00AF1EAF">
            <w:pPr>
              <w:jc w:val="center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Max points</w:t>
            </w:r>
          </w:p>
        </w:tc>
        <w:tc>
          <w:tcPr>
            <w:tcW w:w="1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2082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D97E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316E">
              <w:rPr>
                <w:rFonts w:ascii="Times New Roman" w:hAnsi="Times New Roman" w:cs="Times New Roman"/>
                <w:b/>
              </w:rPr>
              <w:t>10,000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8E70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1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4C75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D0264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80A8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8E11" w14:textId="77777777" w:rsidR="007567B5" w:rsidRPr="007A316E" w:rsidRDefault="007567B5" w:rsidP="00AF1EAF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12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DE45" w14:textId="77777777" w:rsidR="007567B5" w:rsidRPr="007A316E" w:rsidRDefault="007567B5" w:rsidP="00A65CDE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859" w:type="dxa"/>
            <w:vAlign w:val="center"/>
          </w:tcPr>
          <w:p w14:paraId="4072CA78" w14:textId="77777777" w:rsidR="007567B5" w:rsidRPr="007A316E" w:rsidRDefault="007567B5" w:rsidP="00A65CDE">
            <w:pPr>
              <w:jc w:val="right"/>
              <w:rPr>
                <w:rFonts w:ascii="Times New Roman" w:hAnsi="Times New Roman" w:cs="Times New Roman"/>
              </w:rPr>
            </w:pPr>
            <w:r w:rsidRPr="007A316E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1617E72F" w14:textId="77777777" w:rsidR="00EF258F" w:rsidRPr="007A316E" w:rsidRDefault="00EF258F" w:rsidP="00EF258F">
      <w:pPr>
        <w:rPr>
          <w:rFonts w:ascii="Times New Roman" w:hAnsi="Times New Roman" w:cs="Times New Roman"/>
        </w:rPr>
      </w:pPr>
    </w:p>
    <w:p w14:paraId="2E0CAC79" w14:textId="77777777" w:rsidR="00A44AA5" w:rsidRPr="007A316E" w:rsidRDefault="00A44AA5" w:rsidP="00EF258F">
      <w:pPr>
        <w:rPr>
          <w:rFonts w:ascii="Times New Roman" w:hAnsi="Times New Roman" w:cs="Times New Roman"/>
        </w:rPr>
      </w:pPr>
    </w:p>
    <w:p w14:paraId="374172DA" w14:textId="77777777" w:rsidR="00A44AA5" w:rsidRPr="007A316E" w:rsidRDefault="00A44AA5" w:rsidP="00EF258F">
      <w:pPr>
        <w:rPr>
          <w:rFonts w:ascii="Times New Roman" w:hAnsi="Times New Roman" w:cs="Times New Roman"/>
        </w:rPr>
      </w:pPr>
    </w:p>
    <w:p w14:paraId="64DFE751" w14:textId="77777777" w:rsidR="00A44AA5" w:rsidRPr="007A316E" w:rsidRDefault="00A44AA5" w:rsidP="00EF258F">
      <w:pPr>
        <w:rPr>
          <w:rFonts w:ascii="Times New Roman" w:hAnsi="Times New Roman" w:cs="Times New Roman"/>
        </w:rPr>
      </w:pPr>
    </w:p>
    <w:p w14:paraId="7CB9EB42" w14:textId="77777777" w:rsidR="00A44AA5" w:rsidRPr="007A316E" w:rsidRDefault="00A44AA5" w:rsidP="00EF258F">
      <w:pPr>
        <w:rPr>
          <w:rFonts w:ascii="Times New Roman" w:hAnsi="Times New Roman" w:cs="Times New Roman"/>
        </w:rPr>
      </w:pPr>
    </w:p>
    <w:p w14:paraId="54D5009F" w14:textId="77777777" w:rsidR="00A44AA5" w:rsidRPr="007A316E" w:rsidRDefault="00A44AA5" w:rsidP="00EF258F">
      <w:pPr>
        <w:rPr>
          <w:rFonts w:ascii="Times New Roman" w:hAnsi="Times New Roman" w:cs="Times New Roman"/>
        </w:rPr>
      </w:pPr>
    </w:p>
    <w:sectPr w:rsidR="00A44AA5" w:rsidRPr="007A316E" w:rsidSect="00A44AA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7276" w14:textId="77777777" w:rsidR="00A65CDE" w:rsidRDefault="00A65CDE" w:rsidP="00A65CDE">
      <w:pPr>
        <w:spacing w:after="0" w:line="240" w:lineRule="auto"/>
      </w:pPr>
      <w:r>
        <w:separator/>
      </w:r>
    </w:p>
  </w:endnote>
  <w:endnote w:type="continuationSeparator" w:id="0">
    <w:p w14:paraId="214EB23E" w14:textId="77777777" w:rsidR="00A65CDE" w:rsidRDefault="00A65CDE" w:rsidP="00A6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1333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FC479E" w14:textId="41FCC477" w:rsidR="00A65CDE" w:rsidRDefault="00A65C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3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6156B" w14:textId="77777777" w:rsidR="00A65CDE" w:rsidRDefault="00A65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5DC50" w14:textId="77777777" w:rsidR="00A65CDE" w:rsidRDefault="00A65CDE" w:rsidP="00A65CDE">
      <w:pPr>
        <w:spacing w:after="0" w:line="240" w:lineRule="auto"/>
      </w:pPr>
      <w:r>
        <w:separator/>
      </w:r>
    </w:p>
  </w:footnote>
  <w:footnote w:type="continuationSeparator" w:id="0">
    <w:p w14:paraId="34C8D598" w14:textId="77777777" w:rsidR="00A65CDE" w:rsidRDefault="00A65CDE" w:rsidP="00A6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F"/>
    <w:rsid w:val="00560C38"/>
    <w:rsid w:val="00593C86"/>
    <w:rsid w:val="007567B5"/>
    <w:rsid w:val="007A316E"/>
    <w:rsid w:val="00817A40"/>
    <w:rsid w:val="00956A47"/>
    <w:rsid w:val="00A34DB1"/>
    <w:rsid w:val="00A44AA5"/>
    <w:rsid w:val="00A65CDE"/>
    <w:rsid w:val="00A73AB0"/>
    <w:rsid w:val="00AE2572"/>
    <w:rsid w:val="00B76370"/>
    <w:rsid w:val="00C3310D"/>
    <w:rsid w:val="00D73D16"/>
    <w:rsid w:val="00DC105E"/>
    <w:rsid w:val="00E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A81E"/>
  <w15:chartTrackingRefBased/>
  <w15:docId w15:val="{4AB2DCB2-FD59-470C-8A3F-E9D2DF46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1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EF258F"/>
  </w:style>
  <w:style w:type="character" w:customStyle="1" w:styleId="eop">
    <w:name w:val="eop"/>
    <w:basedOn w:val="DefaultParagraphFont"/>
    <w:rsid w:val="00EF258F"/>
  </w:style>
  <w:style w:type="character" w:customStyle="1" w:styleId="spellingerror">
    <w:name w:val="spellingerror"/>
    <w:basedOn w:val="DefaultParagraphFont"/>
    <w:rsid w:val="00EF258F"/>
  </w:style>
  <w:style w:type="character" w:customStyle="1" w:styleId="advancedproofingissue">
    <w:name w:val="advancedproofingissue"/>
    <w:basedOn w:val="DefaultParagraphFont"/>
    <w:rsid w:val="00EF258F"/>
  </w:style>
  <w:style w:type="character" w:styleId="Hyperlink">
    <w:name w:val="Hyperlink"/>
    <w:basedOn w:val="DefaultParagraphFont"/>
    <w:uiPriority w:val="99"/>
    <w:unhideWhenUsed/>
    <w:rsid w:val="00EF258F"/>
    <w:rPr>
      <w:color w:val="0000FF"/>
      <w:u w:val="single"/>
    </w:rPr>
  </w:style>
  <w:style w:type="table" w:styleId="TableGrid">
    <w:name w:val="Table Grid"/>
    <w:basedOn w:val="TableNormal"/>
    <w:uiPriority w:val="39"/>
    <w:rsid w:val="00EF2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67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7A31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6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DE"/>
  </w:style>
  <w:style w:type="paragraph" w:styleId="Footer">
    <w:name w:val="footer"/>
    <w:basedOn w:val="Normal"/>
    <w:link w:val="FooterChar"/>
    <w:uiPriority w:val="99"/>
    <w:unhideWhenUsed/>
    <w:rsid w:val="00A65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enmetric.ui.ac.id/overall-ranking-201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Sheet3!$A$2</c:f>
              <c:strCache>
                <c:ptCount val="1"/>
                <c:pt idx="0">
                  <c:v>Maximum Point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Sheet3!$B$1:$H$1</c:f>
              <c:strCache>
                <c:ptCount val="7"/>
                <c:pt idx="0">
                  <c:v>Setting and Infrastructure (SI)</c:v>
                </c:pt>
                <c:pt idx="1">
                  <c:v>Energy and Climate Change (EC)</c:v>
                </c:pt>
                <c:pt idx="2">
                  <c:v>Waste (WS)</c:v>
                </c:pt>
                <c:pt idx="3">
                  <c:v>Water (WR)</c:v>
                </c:pt>
                <c:pt idx="4">
                  <c:v>Transportation (TR)</c:v>
                </c:pt>
                <c:pt idx="5">
                  <c:v>Education (ED)</c:v>
                </c:pt>
                <c:pt idx="6">
                  <c:v>Total Score</c:v>
                </c:pt>
              </c:strCache>
            </c:strRef>
          </c:cat>
          <c:val>
            <c:numRef>
              <c:f>Sheet3!$B$2:$H$2</c:f>
            </c:numRef>
          </c:val>
          <c:extLst>
            <c:ext xmlns:c16="http://schemas.microsoft.com/office/drawing/2014/chart" uri="{C3380CC4-5D6E-409C-BE32-E72D297353CC}">
              <c16:uniqueId val="{00000000-2586-4B1D-9CE9-A3BB3FF9C1C5}"/>
            </c:ext>
          </c:extLst>
        </c:ser>
        <c:ser>
          <c:idx val="1"/>
          <c:order val="1"/>
          <c:tx>
            <c:strRef>
              <c:f>Sheet3!$A$3</c:f>
              <c:strCache>
                <c:ptCount val="1"/>
                <c:pt idx="0">
                  <c:v>Point 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Sheet3!$B$1:$H$1</c:f>
              <c:strCache>
                <c:ptCount val="7"/>
                <c:pt idx="0">
                  <c:v>Setting and Infrastructure (SI)</c:v>
                </c:pt>
                <c:pt idx="1">
                  <c:v>Energy and Climate Change (EC)</c:v>
                </c:pt>
                <c:pt idx="2">
                  <c:v>Waste (WS)</c:v>
                </c:pt>
                <c:pt idx="3">
                  <c:v>Water (WR)</c:v>
                </c:pt>
                <c:pt idx="4">
                  <c:v>Transportation (TR)</c:v>
                </c:pt>
                <c:pt idx="5">
                  <c:v>Education (ED)</c:v>
                </c:pt>
                <c:pt idx="6">
                  <c:v>Total Score</c:v>
                </c:pt>
              </c:strCache>
            </c:strRef>
          </c:cat>
          <c:val>
            <c:numRef>
              <c:f>Sheet3!$B$3:$H$3</c:f>
            </c:numRef>
          </c:val>
          <c:extLst>
            <c:ext xmlns:c16="http://schemas.microsoft.com/office/drawing/2014/chart" uri="{C3380CC4-5D6E-409C-BE32-E72D297353CC}">
              <c16:uniqueId val="{00000001-2586-4B1D-9CE9-A3BB3FF9C1C5}"/>
            </c:ext>
          </c:extLst>
        </c:ser>
        <c:ser>
          <c:idx val="2"/>
          <c:order val="2"/>
          <c:tx>
            <c:strRef>
              <c:f>Sheet3!$A$4</c:f>
              <c:strCache>
                <c:ptCount val="1"/>
                <c:pt idx="0">
                  <c:v>Point 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Sheet3!$B$1:$H$1</c:f>
              <c:strCache>
                <c:ptCount val="7"/>
                <c:pt idx="0">
                  <c:v>Setting and Infrastructure (SI)</c:v>
                </c:pt>
                <c:pt idx="1">
                  <c:v>Energy and Climate Change (EC)</c:v>
                </c:pt>
                <c:pt idx="2">
                  <c:v>Waste (WS)</c:v>
                </c:pt>
                <c:pt idx="3">
                  <c:v>Water (WR)</c:v>
                </c:pt>
                <c:pt idx="4">
                  <c:v>Transportation (TR)</c:v>
                </c:pt>
                <c:pt idx="5">
                  <c:v>Education (ED)</c:v>
                </c:pt>
                <c:pt idx="6">
                  <c:v>Total Score</c:v>
                </c:pt>
              </c:strCache>
            </c:strRef>
          </c:cat>
          <c:val>
            <c:numRef>
              <c:f>Sheet3!$B$4:$H$4</c:f>
            </c:numRef>
          </c:val>
          <c:extLst>
            <c:ext xmlns:c16="http://schemas.microsoft.com/office/drawing/2014/chart" uri="{C3380CC4-5D6E-409C-BE32-E72D297353CC}">
              <c16:uniqueId val="{00000002-2586-4B1D-9CE9-A3BB3FF9C1C5}"/>
            </c:ext>
          </c:extLst>
        </c:ser>
        <c:ser>
          <c:idx val="3"/>
          <c:order val="3"/>
          <c:tx>
            <c:strRef>
              <c:f>Sheet3!$A$5</c:f>
              <c:strCache>
                <c:ptCount val="1"/>
                <c:pt idx="0">
                  <c:v>Maximum Point 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Sheet3!$B$1:$H$1</c:f>
              <c:strCache>
                <c:ptCount val="7"/>
                <c:pt idx="0">
                  <c:v>Setting and Infrastructure (SI)</c:v>
                </c:pt>
                <c:pt idx="1">
                  <c:v>Energy and Climate Change (EC)</c:v>
                </c:pt>
                <c:pt idx="2">
                  <c:v>Waste (WS)</c:v>
                </c:pt>
                <c:pt idx="3">
                  <c:v>Water (WR)</c:v>
                </c:pt>
                <c:pt idx="4">
                  <c:v>Transportation (TR)</c:v>
                </c:pt>
                <c:pt idx="5">
                  <c:v>Education (ED)</c:v>
                </c:pt>
                <c:pt idx="6">
                  <c:v>Total Score</c:v>
                </c:pt>
              </c:strCache>
            </c:strRef>
          </c:cat>
          <c:val>
            <c:numRef>
              <c:f>Sheet3!$B$5:$H$5</c:f>
            </c:numRef>
          </c:val>
          <c:extLst>
            <c:ext xmlns:c16="http://schemas.microsoft.com/office/drawing/2014/chart" uri="{C3380CC4-5D6E-409C-BE32-E72D297353CC}">
              <c16:uniqueId val="{00000003-2586-4B1D-9CE9-A3BB3FF9C1C5}"/>
            </c:ext>
          </c:extLst>
        </c:ser>
        <c:ser>
          <c:idx val="4"/>
          <c:order val="4"/>
          <c:tx>
            <c:strRef>
              <c:f>Sheet3!$A$6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Sheet3!$B$1:$H$1</c:f>
              <c:strCache>
                <c:ptCount val="7"/>
                <c:pt idx="0">
                  <c:v>Setting and Infrastructure (SI)</c:v>
                </c:pt>
                <c:pt idx="1">
                  <c:v>Energy and Climate Change (EC)</c:v>
                </c:pt>
                <c:pt idx="2">
                  <c:v>Waste (WS)</c:v>
                </c:pt>
                <c:pt idx="3">
                  <c:v>Water (WR)</c:v>
                </c:pt>
                <c:pt idx="4">
                  <c:v>Transportation (TR)</c:v>
                </c:pt>
                <c:pt idx="5">
                  <c:v>Education (ED)</c:v>
                </c:pt>
                <c:pt idx="6">
                  <c:v>Total Score</c:v>
                </c:pt>
              </c:strCache>
            </c:strRef>
          </c:cat>
          <c:val>
            <c:numRef>
              <c:f>Sheet3!$B$6:$H$6</c:f>
              <c:numCache>
                <c:formatCode>0.00</c:formatCode>
                <c:ptCount val="7"/>
                <c:pt idx="0">
                  <c:v>53.27</c:v>
                </c:pt>
                <c:pt idx="1">
                  <c:v>44.38</c:v>
                </c:pt>
                <c:pt idx="2">
                  <c:v>79.33</c:v>
                </c:pt>
                <c:pt idx="3">
                  <c:v>64</c:v>
                </c:pt>
                <c:pt idx="4">
                  <c:v>50.72</c:v>
                </c:pt>
                <c:pt idx="5">
                  <c:v>38.61</c:v>
                </c:pt>
                <c:pt idx="6">
                  <c:v>54.07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86-4B1D-9CE9-A3BB3FF9C1C5}"/>
            </c:ext>
          </c:extLst>
        </c:ser>
        <c:ser>
          <c:idx val="5"/>
          <c:order val="5"/>
          <c:tx>
            <c:strRef>
              <c:f>Sheet3!$A$7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Sheet3!$B$1:$H$1</c:f>
              <c:strCache>
                <c:ptCount val="7"/>
                <c:pt idx="0">
                  <c:v>Setting and Infrastructure (SI)</c:v>
                </c:pt>
                <c:pt idx="1">
                  <c:v>Energy and Climate Change (EC)</c:v>
                </c:pt>
                <c:pt idx="2">
                  <c:v>Waste (WS)</c:v>
                </c:pt>
                <c:pt idx="3">
                  <c:v>Water (WR)</c:v>
                </c:pt>
                <c:pt idx="4">
                  <c:v>Transportation (TR)</c:v>
                </c:pt>
                <c:pt idx="5">
                  <c:v>Education (ED)</c:v>
                </c:pt>
                <c:pt idx="6">
                  <c:v>Total Score</c:v>
                </c:pt>
              </c:strCache>
            </c:strRef>
          </c:cat>
          <c:val>
            <c:numRef>
              <c:f>Sheet3!$B$7:$H$7</c:f>
              <c:numCache>
                <c:formatCode>0.00</c:formatCode>
                <c:ptCount val="7"/>
                <c:pt idx="0">
                  <c:v>68.333333333333329</c:v>
                </c:pt>
                <c:pt idx="1">
                  <c:v>51.19047619047619</c:v>
                </c:pt>
                <c:pt idx="2">
                  <c:v>75</c:v>
                </c:pt>
                <c:pt idx="3">
                  <c:v>50</c:v>
                </c:pt>
                <c:pt idx="4">
                  <c:v>61.111111111111114</c:v>
                </c:pt>
                <c:pt idx="5">
                  <c:v>62.5</c:v>
                </c:pt>
                <c:pt idx="6">
                  <c:v>61.750000000000007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586-4B1D-9CE9-A3BB3FF9C1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86057264"/>
        <c:axId val="386057592"/>
      </c:barChart>
      <c:catAx>
        <c:axId val="386057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057592"/>
        <c:crosses val="autoZero"/>
        <c:auto val="1"/>
        <c:lblAlgn val="ctr"/>
        <c:lblOffset val="100"/>
        <c:noMultiLvlLbl val="0"/>
      </c:catAx>
      <c:valAx>
        <c:axId val="3860575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605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Maynooth University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Larragy</dc:creator>
  <cp:keywords/>
  <dc:description/>
  <cp:lastModifiedBy>Dorena Bishop</cp:lastModifiedBy>
  <cp:revision>2</cp:revision>
  <dcterms:created xsi:type="dcterms:W3CDTF">2019-04-10T14:47:00Z</dcterms:created>
  <dcterms:modified xsi:type="dcterms:W3CDTF">2019-04-10T14:47:00Z</dcterms:modified>
</cp:coreProperties>
</file>